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rFonts w:ascii="Times New Roman" w:eastAsia="方正小标宋简体" w:hAnsi="Times New Roman" w:cs="Times New Roman"/>
          <w:b/>
          <w:sz w:val="28"/>
          <w:szCs w:val="28"/>
        </w:rPr>
      </w:pPr>
    </w:p>
    <w:p>
      <w:pPr>
        <w:jc w:val="center"/>
        <w:rPr>
          <w:rFonts w:ascii="Times New Roman" w:eastAsia="方正小标宋简体" w:hAnsi="Times New Roman" w:cs="Times New Roman"/>
          <w:b/>
          <w:bCs/>
          <w:sz w:val="52"/>
          <w:szCs w:val="52"/>
        </w:rPr>
      </w:pPr>
      <w:bookmarkStart w:id="0" w:name="_Hlk46390096"/>
      <w:r>
        <w:rPr>
          <w:rFonts w:ascii="Times New Roman" w:eastAsia="方正小标宋简体" w:hAnsi="Times New Roman" w:cs="Times New Roman"/>
          <w:b/>
          <w:bCs/>
          <w:sz w:val="52"/>
          <w:szCs w:val="52"/>
        </w:rPr>
        <w:t>西青区</w:t>
      </w:r>
      <w:r>
        <w:rPr>
          <w:rFonts w:ascii="Times New Roman" w:eastAsia="方正小标宋简体" w:hAnsi="Times New Roman" w:cs="Times New Roman"/>
          <w:b/>
          <w:bCs/>
          <w:sz w:val="52"/>
          <w:szCs w:val="52"/>
        </w:rPr>
        <w:t>2019</w:t>
      </w:r>
      <w:r>
        <w:rPr>
          <w:rFonts w:ascii="Times New Roman" w:eastAsia="方正小标宋简体" w:hAnsi="Times New Roman" w:cs="Times New Roman"/>
          <w:b/>
          <w:bCs/>
          <w:sz w:val="52"/>
          <w:szCs w:val="52"/>
        </w:rPr>
        <w:t>年科技攻关和科技成果转化及产业化项目</w:t>
      </w:r>
    </w:p>
    <w:bookmarkEnd w:id="0"/>
    <w:p>
      <w:pPr>
        <w:jc w:val="center"/>
        <w:rPr>
          <w:rFonts w:ascii="Times New Roman" w:eastAsia="方正小标宋简体" w:hAnsi="Times New Roman" w:cs="Times New Roman"/>
          <w:b/>
          <w:bCs/>
          <w:sz w:val="52"/>
          <w:szCs w:val="52"/>
        </w:rPr>
      </w:pPr>
    </w:p>
    <w:p>
      <w:pPr>
        <w:jc w:val="center"/>
        <w:rPr>
          <w:rFonts w:ascii="Times New Roman" w:eastAsia="方正小标宋简体" w:hAnsi="Times New Roman" w:cs="Times New Roman"/>
          <w:b/>
          <w:bCs/>
          <w:sz w:val="52"/>
          <w:szCs w:val="52"/>
        </w:rPr>
      </w:pPr>
      <w:r>
        <w:rPr>
          <w:rFonts w:ascii="Times New Roman" w:eastAsia="方正小标宋简体" w:hAnsi="Times New Roman" w:cs="Times New Roman"/>
          <w:b/>
          <w:bCs/>
          <w:sz w:val="52"/>
          <w:szCs w:val="52"/>
        </w:rPr>
        <w:t>绩效评价报告</w:t>
      </w:r>
    </w:p>
    <w:p>
      <w:pPr>
        <w:jc w:val="center"/>
        <w:rPr>
          <w:rFonts w:ascii="Times New Roman" w:eastAsia="方正小标宋简体" w:hAnsi="Times New Roman" w:cs="Times New Roman"/>
          <w:b/>
          <w:sz w:val="28"/>
          <w:szCs w:val="28"/>
        </w:rPr>
      </w:pPr>
    </w:p>
    <w:p>
      <w:pPr>
        <w:jc w:val="center"/>
        <w:rPr>
          <w:rFonts w:ascii="Times New Roman" w:eastAsia="方正小标宋简体" w:hAnsi="Times New Roman" w:cs="Times New Roman"/>
          <w:b/>
          <w:sz w:val="28"/>
          <w:szCs w:val="28"/>
        </w:rPr>
      </w:pPr>
    </w:p>
    <w:p>
      <w:pPr>
        <w:jc w:val="center"/>
        <w:rPr>
          <w:rFonts w:ascii="Times New Roman" w:eastAsia="方正小标宋简体" w:hAnsi="Times New Roman" w:cs="Times New Roman"/>
          <w:b/>
          <w:sz w:val="28"/>
          <w:szCs w:val="28"/>
        </w:rPr>
      </w:pPr>
    </w:p>
    <w:p>
      <w:pPr>
        <w:jc w:val="center"/>
        <w:rPr>
          <w:rFonts w:ascii="Times New Roman" w:eastAsia="方正小标宋简体" w:hAnsi="Times New Roman" w:cs="Times New Roman"/>
          <w:b/>
          <w:sz w:val="28"/>
          <w:szCs w:val="28"/>
        </w:rPr>
      </w:pPr>
    </w:p>
    <w:p>
      <w:pPr>
        <w:jc w:val="center"/>
        <w:rPr>
          <w:rFonts w:ascii="Times New Roman" w:eastAsia="方正小标宋简体" w:hAnsi="Times New Roman" w:cs="Times New Roman"/>
          <w:b/>
          <w:sz w:val="28"/>
          <w:szCs w:val="28"/>
        </w:rPr>
      </w:pPr>
    </w:p>
    <w:p>
      <w:pPr>
        <w:jc w:val="center"/>
        <w:rPr>
          <w:rFonts w:ascii="Times New Roman" w:eastAsia="方正小标宋简体" w:hAnsi="Times New Roman" w:cs="Times New Roman"/>
          <w:b/>
          <w:sz w:val="28"/>
          <w:szCs w:val="28"/>
        </w:rPr>
      </w:pPr>
    </w:p>
    <w:p>
      <w:pPr>
        <w:jc w:val="center"/>
        <w:rPr>
          <w:rFonts w:ascii="Times New Roman" w:eastAsia="方正小标宋简体" w:hAnsi="Times New Roman" w:cs="Times New Roman"/>
          <w:b/>
          <w:sz w:val="28"/>
          <w:szCs w:val="28"/>
        </w:rPr>
      </w:pPr>
    </w:p>
    <w:p>
      <w:pPr>
        <w:jc w:val="center"/>
        <w:rPr>
          <w:rFonts w:ascii="Times New Roman" w:eastAsia="方正小标宋简体" w:hAnsi="Times New Roman" w:cs="Times New Roman"/>
          <w:b/>
          <w:sz w:val="28"/>
          <w:szCs w:val="28"/>
        </w:rPr>
      </w:pPr>
    </w:p>
    <w:p>
      <w:pPr>
        <w:jc w:val="center"/>
        <w:rPr>
          <w:rFonts w:ascii="Times New Roman" w:eastAsia="方正小标宋简体" w:hAnsi="Times New Roman" w:cs="Times New Roman"/>
          <w:b/>
          <w:sz w:val="36"/>
          <w:szCs w:val="36"/>
        </w:rPr>
      </w:pPr>
      <w:proofErr w:type="gramStart"/>
      <w:r>
        <w:rPr>
          <w:rFonts w:ascii="Times New Roman" w:eastAsia="方正小标宋简体" w:hAnsi="Times New Roman" w:cs="Times New Roman"/>
          <w:b/>
          <w:sz w:val="36"/>
          <w:szCs w:val="36"/>
        </w:rPr>
        <w:t>天津健信会计师</w:t>
      </w:r>
      <w:proofErr w:type="gramEnd"/>
      <w:r>
        <w:rPr>
          <w:rFonts w:ascii="Times New Roman" w:eastAsia="方正小标宋简体" w:hAnsi="Times New Roman" w:cs="Times New Roman"/>
          <w:b/>
          <w:sz w:val="36"/>
          <w:szCs w:val="36"/>
        </w:rPr>
        <w:t>事务所（普通合伙）</w:t>
      </w:r>
    </w:p>
    <w:p>
      <w:pPr>
        <w:jc w:val="center"/>
        <w:rPr>
          <w:rFonts w:ascii="Times New Roman" w:eastAsia="方正小标宋简体" w:hAnsi="Times New Roman" w:cs="Times New Roman"/>
          <w:b/>
          <w:sz w:val="30"/>
          <w:szCs w:val="30"/>
        </w:rPr>
      </w:pPr>
    </w:p>
    <w:p>
      <w:pPr>
        <w:jc w:val="center"/>
        <w:rPr>
          <w:rFonts w:ascii="Times New Roman" w:eastAsia="方正小标宋简体" w:hAnsi="Times New Roman" w:cs="Times New Roman"/>
          <w:b/>
          <w:sz w:val="36"/>
          <w:szCs w:val="36"/>
        </w:rPr>
      </w:pPr>
      <w:r>
        <w:rPr>
          <w:rFonts w:ascii="Times New Roman" w:eastAsia="方正小标宋简体" w:hAnsi="Times New Roman" w:cs="Times New Roman"/>
          <w:b/>
          <w:sz w:val="36"/>
          <w:szCs w:val="36"/>
        </w:rPr>
        <w:t>2020</w:t>
      </w:r>
      <w:r>
        <w:rPr>
          <w:rFonts w:ascii="Times New Roman" w:eastAsia="方正小标宋简体" w:hAnsi="Times New Roman" w:cs="Times New Roman"/>
          <w:b/>
          <w:sz w:val="36"/>
          <w:szCs w:val="36"/>
        </w:rPr>
        <w:t>年</w:t>
      </w:r>
      <w:r>
        <w:rPr>
          <w:rFonts w:ascii="Times New Roman" w:eastAsia="方正小标宋简体" w:hAnsi="Times New Roman" w:cs="Times New Roman"/>
          <w:b/>
          <w:sz w:val="36"/>
          <w:szCs w:val="36"/>
        </w:rPr>
        <w:t>11</w:t>
      </w:r>
      <w:r>
        <w:rPr>
          <w:rFonts w:ascii="Times New Roman" w:eastAsia="方正小标宋简体" w:hAnsi="Times New Roman" w:cs="Times New Roman"/>
          <w:b/>
          <w:sz w:val="36"/>
          <w:szCs w:val="36"/>
        </w:rPr>
        <w:t>月</w:t>
      </w:r>
      <w:r>
        <w:rPr>
          <w:rFonts w:ascii="Times New Roman" w:eastAsia="方正小标宋简体" w:hAnsi="Times New Roman" w:cs="Times New Roman"/>
          <w:b/>
          <w:sz w:val="36"/>
          <w:szCs w:val="36"/>
        </w:rPr>
        <w:t>2</w:t>
      </w:r>
      <w:r>
        <w:rPr>
          <w:rFonts w:ascii="Times New Roman" w:eastAsia="方正小标宋简体" w:hAnsi="Times New Roman" w:cs="Times New Roman"/>
          <w:b/>
          <w:sz w:val="36"/>
          <w:szCs w:val="36"/>
        </w:rPr>
        <w:t>日</w:t>
      </w:r>
    </w:p>
    <w:p>
      <w:pPr>
        <w:jc w:val="center"/>
        <w:rPr>
          <w:rFonts w:ascii="Times New Roman" w:eastAsia="方正小标宋简体" w:hAnsi="Times New Roman" w:cs="Times New Roman"/>
          <w:sz w:val="36"/>
          <w:szCs w:val="36"/>
        </w:rPr>
      </w:pPr>
    </w:p>
    <w:p>
      <w:pPr>
        <w:jc w:val="center"/>
        <w:rPr>
          <w:rFonts w:ascii="Times New Roman" w:eastAsia="仿宋" w:hAnsi="Times New Roman" w:cs="Times New Roman"/>
          <w:b/>
        </w:rPr>
        <w:sectPr>
          <w:headerReference w:type="default" r:id="rId9"/>
          <w:footerReference w:type="default" r:id="rId10"/>
          <w:pgSz w:w="11906" w:h="16838"/>
          <w:pgMar w:top="1440" w:right="1133" w:bottom="1440" w:left="1985" w:header="851" w:footer="992" w:gutter="0"/>
          <w:pgNumType w:start="1"/>
          <w:cols w:space="425"/>
          <w:docGrid w:type="lines" w:linePitch="312"/>
        </w:sectPr>
      </w:pPr>
      <w:bookmarkStart w:id="1" w:name="_Hlk46390127"/>
    </w:p>
    <w:p>
      <w:pPr>
        <w:spacing w:beforeLines="100" w:afterLines="100" w:line="480" w:lineRule="auto"/>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西青区</w:t>
      </w:r>
      <w:r>
        <w:rPr>
          <w:rFonts w:ascii="Times New Roman" w:eastAsia="方正小标宋简体" w:hAnsi="Times New Roman" w:cs="Times New Roman"/>
          <w:sz w:val="44"/>
          <w:szCs w:val="44"/>
        </w:rPr>
        <w:t>2019</w:t>
      </w:r>
      <w:r>
        <w:rPr>
          <w:rFonts w:ascii="Times New Roman" w:eastAsia="方正小标宋简体" w:hAnsi="Times New Roman" w:cs="Times New Roman"/>
          <w:sz w:val="44"/>
          <w:szCs w:val="44"/>
        </w:rPr>
        <w:t>年科技攻关和科技成果</w:t>
      </w:r>
    </w:p>
    <w:p>
      <w:pPr>
        <w:spacing w:beforeLines="100" w:afterLines="100" w:line="480" w:lineRule="auto"/>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转化及产业化项目</w:t>
      </w:r>
      <w:bookmarkEnd w:id="1"/>
      <w:r>
        <w:rPr>
          <w:rFonts w:ascii="Times New Roman" w:eastAsia="方正小标宋简体" w:hAnsi="Times New Roman" w:cs="Times New Roman"/>
          <w:sz w:val="44"/>
          <w:szCs w:val="44"/>
        </w:rPr>
        <w:t>绩效评价报告</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根据《财政支出绩效评价管理暂行办法》、天津市政府办公厅《转发市财政局关于推进我市预算绩效管理工作指导意见的通知》、《天津市财政支出绩效评价管理办法》等法规文件要求，我们</w:t>
      </w:r>
      <w:bookmarkStart w:id="2" w:name="_Hlk46240116"/>
      <w:r>
        <w:rPr>
          <w:rFonts w:ascii="Times New Roman" w:eastAsia="仿宋_GB2312" w:hAnsi="Times New Roman" w:cs="Times New Roman"/>
          <w:sz w:val="32"/>
          <w:szCs w:val="32"/>
        </w:rPr>
        <w:t>对</w:t>
      </w:r>
      <w:bookmarkEnd w:id="2"/>
      <w:r>
        <w:rPr>
          <w:rFonts w:ascii="Times New Roman" w:eastAsia="仿宋_GB2312" w:hAnsi="Times New Roman" w:cs="Times New Roman"/>
          <w:sz w:val="32"/>
          <w:szCs w:val="32"/>
        </w:rPr>
        <w:t>西青区</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年度重大科技创新项目进行了绩效评价。现将有关情况报告如下：</w:t>
      </w:r>
    </w:p>
    <w:p>
      <w:pPr>
        <w:pStyle w:val="af"/>
        <w:ind w:firstLine="640"/>
        <w:rPr>
          <w:rFonts w:ascii="Times New Roman" w:eastAsia="黑体" w:hAnsi="Times New Roman" w:cs="Times New Roman"/>
          <w:bCs/>
          <w:sz w:val="32"/>
          <w:szCs w:val="32"/>
        </w:rPr>
      </w:pPr>
      <w:r>
        <w:rPr>
          <w:rFonts w:ascii="Times New Roman" w:eastAsia="黑体" w:hAnsi="Times New Roman" w:cs="Times New Roman"/>
          <w:bCs/>
          <w:sz w:val="32"/>
          <w:szCs w:val="32"/>
        </w:rPr>
        <w:t>一、项目基本情况</w:t>
      </w:r>
    </w:p>
    <w:p>
      <w:pPr>
        <w:pStyle w:val="af"/>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为进一步加快发展先进制造业，推动我区工业经济发展质量变革、效率变革、动力变革，提高全要素生产率，推动《西青区创新驱动发展战略行动方案》（西青政发〔</w:t>
      </w:r>
      <w:r>
        <w:rPr>
          <w:rFonts w:ascii="Times New Roman" w:eastAsia="仿宋_GB2312" w:hAnsi="Times New Roman" w:cs="Times New Roman"/>
          <w:bCs/>
          <w:sz w:val="32"/>
          <w:szCs w:val="32"/>
        </w:rPr>
        <w:t>2016</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9</w:t>
      </w:r>
      <w:r>
        <w:rPr>
          <w:rFonts w:ascii="Times New Roman" w:eastAsia="仿宋_GB2312" w:hAnsi="Times New Roman" w:cs="Times New Roman"/>
          <w:bCs/>
          <w:sz w:val="32"/>
          <w:szCs w:val="32"/>
        </w:rPr>
        <w:t>号）和《西青区工业企业创新驱动发展实施方案》（西青政发</w:t>
      </w:r>
      <w:bookmarkStart w:id="3" w:name="_Hlk46240033"/>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2017</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7</w:t>
      </w:r>
      <w:r>
        <w:rPr>
          <w:rFonts w:ascii="Times New Roman" w:eastAsia="仿宋_GB2312" w:hAnsi="Times New Roman" w:cs="Times New Roman"/>
          <w:bCs/>
          <w:sz w:val="32"/>
          <w:szCs w:val="32"/>
        </w:rPr>
        <w:t>号</w:t>
      </w:r>
      <w:bookmarkEnd w:id="3"/>
      <w:r>
        <w:rPr>
          <w:rFonts w:ascii="Times New Roman" w:eastAsia="仿宋_GB2312" w:hAnsi="Times New Roman" w:cs="Times New Roman"/>
          <w:bCs/>
          <w:sz w:val="32"/>
          <w:szCs w:val="32"/>
        </w:rPr>
        <w:t>）落到实处，根据《天津市西青区人民政府办公室关于印发西青区鼓励高端制造创新驱动发展政策意见的通知》（西青政办发〔</w:t>
      </w:r>
      <w:r>
        <w:rPr>
          <w:rFonts w:ascii="Times New Roman" w:eastAsia="仿宋_GB2312" w:hAnsi="Times New Roman" w:cs="Times New Roman"/>
          <w:bCs/>
          <w:sz w:val="32"/>
          <w:szCs w:val="32"/>
        </w:rPr>
        <w:t>2017</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50</w:t>
      </w:r>
      <w:r>
        <w:rPr>
          <w:rFonts w:ascii="Times New Roman" w:eastAsia="仿宋_GB2312" w:hAnsi="Times New Roman" w:cs="Times New Roman"/>
          <w:bCs/>
          <w:sz w:val="32"/>
          <w:szCs w:val="32"/>
        </w:rPr>
        <w:t>号）文件精神，西青区科技局制定了《对我区科技型中小企业与高校、科研院所共同开展的科技攻关和科技成果转化及产业化项目予以支持的实施细则》，以对本区科技型中小企业与高校、科研院所共同开展的科技攻关和科技成果转化及产业化项目给予资助。</w:t>
      </w:r>
    </w:p>
    <w:p>
      <w:pPr>
        <w:pStyle w:val="af"/>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本项目计划对工商注册地、税务征管关系在西青区内，有健全的财务制度、具有独立法人资格、实行独立核算，且未来</w:t>
      </w:r>
      <w:r>
        <w:rPr>
          <w:rFonts w:ascii="Times New Roman" w:eastAsia="仿宋_GB2312" w:hAnsi="Times New Roman" w:cs="Times New Roman"/>
          <w:bCs/>
          <w:sz w:val="32"/>
          <w:szCs w:val="32"/>
        </w:rPr>
        <w:t>10</w:t>
      </w:r>
      <w:r>
        <w:rPr>
          <w:rFonts w:ascii="Times New Roman" w:eastAsia="仿宋_GB2312" w:hAnsi="Times New Roman" w:cs="Times New Roman"/>
          <w:bCs/>
          <w:sz w:val="32"/>
          <w:szCs w:val="32"/>
        </w:rPr>
        <w:t>年内</w:t>
      </w:r>
      <w:proofErr w:type="gramStart"/>
      <w:r>
        <w:rPr>
          <w:rFonts w:ascii="Times New Roman" w:eastAsia="仿宋_GB2312" w:hAnsi="Times New Roman" w:cs="Times New Roman"/>
          <w:bCs/>
          <w:sz w:val="32"/>
          <w:szCs w:val="32"/>
        </w:rPr>
        <w:t>不</w:t>
      </w:r>
      <w:proofErr w:type="gramEnd"/>
      <w:r>
        <w:rPr>
          <w:rFonts w:ascii="Times New Roman" w:eastAsia="仿宋_GB2312" w:hAnsi="Times New Roman" w:cs="Times New Roman"/>
          <w:bCs/>
          <w:sz w:val="32"/>
          <w:szCs w:val="32"/>
        </w:rPr>
        <w:t>迁离注册及办公地址、不改变在西青区的纳税主体地位、不减少注册资本的工业企业或机构给予不超过</w:t>
      </w:r>
      <w:r>
        <w:rPr>
          <w:rFonts w:ascii="Times New Roman" w:eastAsia="仿宋_GB2312" w:hAnsi="Times New Roman" w:cs="Times New Roman"/>
          <w:bCs/>
          <w:sz w:val="32"/>
          <w:szCs w:val="32"/>
        </w:rPr>
        <w:t>50</w:t>
      </w:r>
      <w:r>
        <w:rPr>
          <w:rFonts w:ascii="Times New Roman" w:eastAsia="仿宋_GB2312" w:hAnsi="Times New Roman" w:cs="Times New Roman"/>
          <w:bCs/>
          <w:sz w:val="32"/>
          <w:szCs w:val="32"/>
        </w:rPr>
        <w:t>万元的资助。</w:t>
      </w:r>
    </w:p>
    <w:p>
      <w:pPr>
        <w:pStyle w:val="af"/>
        <w:ind w:firstLine="640"/>
        <w:rPr>
          <w:rFonts w:ascii="Times New Roman" w:eastAsia="黑体" w:hAnsi="Times New Roman" w:cs="Times New Roman"/>
          <w:bCs/>
          <w:sz w:val="32"/>
          <w:szCs w:val="32"/>
        </w:rPr>
      </w:pPr>
      <w:r>
        <w:rPr>
          <w:rFonts w:ascii="Times New Roman" w:eastAsia="黑体" w:hAnsi="Times New Roman" w:cs="Times New Roman"/>
          <w:bCs/>
          <w:sz w:val="32"/>
          <w:szCs w:val="32"/>
        </w:rPr>
        <w:t>二、绩效评价工作情况</w:t>
      </w:r>
    </w:p>
    <w:p>
      <w:pPr>
        <w:pStyle w:val="af"/>
        <w:ind w:firstLine="640"/>
        <w:rPr>
          <w:rFonts w:ascii="Times New Roman" w:eastAsia="楷体_GB2312" w:hAnsi="Times New Roman" w:cs="Times New Roman"/>
          <w:bCs/>
          <w:sz w:val="32"/>
          <w:szCs w:val="32"/>
        </w:rPr>
      </w:pPr>
      <w:r>
        <w:rPr>
          <w:rFonts w:ascii="Times New Roman" w:eastAsia="楷体_GB2312" w:hAnsi="Times New Roman" w:cs="Times New Roman"/>
          <w:bCs/>
          <w:sz w:val="32"/>
          <w:szCs w:val="32"/>
        </w:rPr>
        <w:t>（一）绩效评价目的</w:t>
      </w:r>
    </w:p>
    <w:p>
      <w:pPr>
        <w:ind w:firstLine="576"/>
        <w:rPr>
          <w:rFonts w:ascii="Times New Roman" w:eastAsia="仿宋_GB2312" w:hAnsi="Times New Roman" w:cs="Times New Roman"/>
          <w:sz w:val="32"/>
          <w:szCs w:val="32"/>
        </w:rPr>
      </w:pPr>
      <w:r>
        <w:rPr>
          <w:rFonts w:ascii="Times New Roman" w:eastAsia="仿宋_GB2312" w:hAnsi="Times New Roman" w:cs="Times New Roman"/>
          <w:sz w:val="32"/>
          <w:szCs w:val="32"/>
        </w:rPr>
        <w:t>绩效评价是以科学规范、公正公开、分级分类、绩效相关为原则，运用科学、合理的绩效评价指标、评价标准和评价方法，对财政支出的经济性、效率性和效益性进行客观、公正的评价。</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通过总结西青区</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年科技攻关和科技成果转化及产业化项目管理与实施经验，为相关部门决策、管理提供参考依据；推动西青区建立以绩效评价结果为导向的财政资金分配与管理制度，提升西青区财政资金科学化管理水平。</w:t>
      </w:r>
    </w:p>
    <w:p>
      <w:pPr>
        <w:ind w:firstLine="576"/>
        <w:rPr>
          <w:rFonts w:ascii="Times New Roman" w:eastAsia="仿宋_GB2312" w:hAnsi="Times New Roman" w:cs="Times New Roman"/>
          <w:sz w:val="32"/>
          <w:szCs w:val="32"/>
        </w:rPr>
      </w:pPr>
      <w:r>
        <w:rPr>
          <w:rFonts w:ascii="Times New Roman" w:eastAsia="仿宋_GB2312" w:hAnsi="Times New Roman" w:cs="Times New Roman"/>
          <w:sz w:val="32"/>
          <w:szCs w:val="32"/>
        </w:rPr>
        <w:t>对西青区</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年科技攻关和科技成果转化及产业化项目的绩效评价，可以清楚地了解科技专项资金的效益情况和财政资金的使用情况。</w:t>
      </w:r>
    </w:p>
    <w:p>
      <w:pPr>
        <w:ind w:firstLine="560"/>
        <w:rPr>
          <w:rFonts w:ascii="Times New Roman" w:eastAsia="楷体_GB2312" w:hAnsi="Times New Roman" w:cs="Times New Roman"/>
          <w:sz w:val="32"/>
          <w:szCs w:val="32"/>
        </w:rPr>
      </w:pPr>
      <w:r>
        <w:rPr>
          <w:rFonts w:ascii="Times New Roman" w:eastAsia="楷体_GB2312" w:hAnsi="Times New Roman" w:cs="Times New Roman"/>
          <w:sz w:val="32"/>
          <w:szCs w:val="32"/>
        </w:rPr>
        <w:t>（二）绩效评价原则、评价指标体系、评价方法</w:t>
      </w:r>
    </w:p>
    <w:p>
      <w:pPr>
        <w:ind w:firstLine="56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绩效评价原则</w:t>
      </w:r>
    </w:p>
    <w:p>
      <w:pPr>
        <w:ind w:firstLine="56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）科学规范原则。绩效评价应按照规范的程序、科学可行的要求，采用定量与定性分析相结合的方法实施。</w:t>
      </w:r>
    </w:p>
    <w:p>
      <w:pPr>
        <w:ind w:firstLine="56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）公正公开原则。绩效评价应符合真实、客观、公平、公正的要求，依法公开并接受监督。</w:t>
      </w:r>
    </w:p>
    <w:p>
      <w:pPr>
        <w:ind w:firstLine="56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）分级分类原则。绩效评价由财政部门和各预算单位主管部门根据评价对象的特点分类组织实施。</w:t>
      </w:r>
    </w:p>
    <w:p>
      <w:pPr>
        <w:ind w:firstLine="56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）绩效相关原则。绩效评价应针对具体支出及其产出效果进行，评价结果要清晰反映两者之间紧密对应关系。</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绩效评价指标体系</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评价指标体系分为四大部分，即项目投入、过程、产出、效果。这四大部分反映了一个项目从制定计划、组织实施到效益的整个过程，采取百分制的计分方式。主要包括项目实施计划、组织管理、项目完成情况、资金落实及支出、资金使用合法合</w:t>
      </w:r>
      <w:proofErr w:type="gramStart"/>
      <w:r>
        <w:rPr>
          <w:rFonts w:ascii="Times New Roman" w:eastAsia="仿宋_GB2312" w:hAnsi="Times New Roman" w:cs="Times New Roman"/>
          <w:sz w:val="32"/>
          <w:szCs w:val="32"/>
        </w:rPr>
        <w:t>规</w:t>
      </w:r>
      <w:proofErr w:type="gramEnd"/>
      <w:r>
        <w:rPr>
          <w:rFonts w:ascii="Times New Roman" w:eastAsia="仿宋_GB2312" w:hAnsi="Times New Roman" w:cs="Times New Roman"/>
          <w:sz w:val="32"/>
          <w:szCs w:val="32"/>
        </w:rPr>
        <w:t>性和社会效益等情况。</w:t>
      </w:r>
    </w:p>
    <w:p>
      <w:pPr>
        <w:ind w:firstLineChars="225" w:firstLine="72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绩效评价方法</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根据《财政部关于印发</w:t>
      </w:r>
      <w:r>
        <w:rPr>
          <w:rFonts w:ascii="Times New Roman" w:eastAsia="仿宋_GB2312" w:hAnsi="Times New Roman" w:cs="Times New Roman"/>
          <w:sz w:val="32"/>
          <w:szCs w:val="32"/>
        </w:rPr>
        <w:t>&lt;</w:t>
      </w:r>
      <w:r>
        <w:rPr>
          <w:rFonts w:ascii="Times New Roman" w:eastAsia="仿宋_GB2312" w:hAnsi="Times New Roman" w:cs="Times New Roman"/>
          <w:sz w:val="32"/>
          <w:szCs w:val="32"/>
        </w:rPr>
        <w:t>财政支出绩效评价管理办法</w:t>
      </w:r>
      <w:r>
        <w:rPr>
          <w:rFonts w:ascii="Times New Roman" w:eastAsia="仿宋_GB2312" w:hAnsi="Times New Roman" w:cs="Times New Roman"/>
          <w:sz w:val="32"/>
          <w:szCs w:val="32"/>
        </w:rPr>
        <w:t>&gt;</w:t>
      </w:r>
      <w:r>
        <w:rPr>
          <w:rFonts w:ascii="Times New Roman" w:eastAsia="仿宋_GB2312" w:hAnsi="Times New Roman" w:cs="Times New Roman"/>
          <w:sz w:val="32"/>
          <w:szCs w:val="32"/>
        </w:rPr>
        <w:t>的通知》、天津市财政局《天津市财政支出绩效评价管理办法》，结合本项目特点，成立专门</w:t>
      </w:r>
      <w:proofErr w:type="gramStart"/>
      <w:r>
        <w:rPr>
          <w:rFonts w:ascii="Times New Roman" w:eastAsia="仿宋_GB2312" w:hAnsi="Times New Roman" w:cs="Times New Roman"/>
          <w:sz w:val="32"/>
          <w:szCs w:val="32"/>
        </w:rPr>
        <w:t>评价组</w:t>
      </w:r>
      <w:proofErr w:type="gramEnd"/>
      <w:r>
        <w:rPr>
          <w:rFonts w:ascii="Times New Roman" w:eastAsia="仿宋_GB2312" w:hAnsi="Times New Roman" w:cs="Times New Roman"/>
          <w:sz w:val="32"/>
          <w:szCs w:val="32"/>
        </w:rPr>
        <w:t>进行评价体系的构建。</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评价工作遵循</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客观、公正、科学、规范</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的原则，采用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以结果为导向、基于证据</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的绩效评价方法，主要从项目决策、项目管理、项目绩效三个方面对评价目标进行逐步分解，从定性与定量两个角度综合</w:t>
      </w:r>
      <w:proofErr w:type="gramStart"/>
      <w:r>
        <w:rPr>
          <w:rFonts w:ascii="Times New Roman" w:eastAsia="仿宋_GB2312" w:hAnsi="Times New Roman" w:cs="Times New Roman"/>
          <w:sz w:val="32"/>
          <w:szCs w:val="32"/>
        </w:rPr>
        <w:t>考量</w:t>
      </w:r>
      <w:proofErr w:type="gramEnd"/>
      <w:r>
        <w:rPr>
          <w:rFonts w:ascii="Times New Roman" w:eastAsia="仿宋_GB2312" w:hAnsi="Times New Roman" w:cs="Times New Roman"/>
          <w:sz w:val="32"/>
          <w:szCs w:val="32"/>
        </w:rPr>
        <w:t>，评价资金使用的效率与效益。评价主要采用比较分析法和因素分析法。</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比较分析法是指通过对绩效目标与实施效果、历史与当期情况、不同部门和地区同类支出的比较，综合分析绩效目标实现程度。比较法主要适用于财政项目资金管理，通常也通过案例对比分析进行评判。</w:t>
      </w:r>
    </w:p>
    <w:p>
      <w:pPr>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sz w:val="32"/>
          <w:szCs w:val="32"/>
        </w:rPr>
        <w:t>因素分析法是指通过综合分析影响绩效目标实现、实施效果的内外因素，评价绩效目标的实现程度。许多支出项目运用因素分析法，通过不同因素的权重评比，进行综合分析。</w:t>
      </w:r>
    </w:p>
    <w:p>
      <w:pPr>
        <w:pStyle w:val="af"/>
        <w:ind w:firstLine="640"/>
        <w:rPr>
          <w:rFonts w:ascii="Times New Roman" w:eastAsia="楷体_GB2312" w:hAnsi="Times New Roman" w:cs="Times New Roman"/>
          <w:bCs/>
          <w:sz w:val="32"/>
          <w:szCs w:val="32"/>
        </w:rPr>
      </w:pPr>
      <w:r>
        <w:rPr>
          <w:rFonts w:ascii="Times New Roman" w:eastAsia="楷体_GB2312" w:hAnsi="Times New Roman" w:cs="Times New Roman"/>
          <w:bCs/>
          <w:sz w:val="32"/>
          <w:szCs w:val="32"/>
        </w:rPr>
        <w:t>（三）绩效评价工作过程</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前期准备</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天津健信会计师</w:t>
      </w:r>
      <w:proofErr w:type="gramEnd"/>
      <w:r>
        <w:rPr>
          <w:rFonts w:ascii="Times New Roman" w:eastAsia="仿宋_GB2312" w:hAnsi="Times New Roman" w:cs="Times New Roman"/>
          <w:sz w:val="32"/>
          <w:szCs w:val="32"/>
        </w:rPr>
        <w:t>事务所接受委托后，成立了绩效评价工作组，聘请相关行业专家参与被评价项目相关专业技术指标的确定和评价工作的实施；</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）进行前期调研，收集与评价项目立项、实施细则、项目初审等相关的资料，并对相关资料进行整理分析。</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2.</w:t>
      </w:r>
      <w:r>
        <w:rPr>
          <w:rFonts w:ascii="Times New Roman" w:eastAsia="仿宋_GB2312" w:hAnsi="Times New Roman" w:cs="Times New Roman"/>
          <w:sz w:val="32"/>
          <w:szCs w:val="32"/>
        </w:rPr>
        <w:t>组织实施</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）对项目资金的收支进行审核工作，主要包括资金申请与预算批复的法定程序，资金拨付、支出及财务管理的规范情况；</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）对项目资金的实施进行审核工作，主要包括评价项目有关的立项、实施细则、项目初审、项目管理办法等文件资料；</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）根据具体审核情况，</w:t>
      </w:r>
      <w:proofErr w:type="gramStart"/>
      <w:r>
        <w:rPr>
          <w:rFonts w:ascii="Times New Roman" w:eastAsia="仿宋_GB2312" w:hAnsi="Times New Roman" w:cs="Times New Roman"/>
          <w:sz w:val="32"/>
          <w:szCs w:val="32"/>
        </w:rPr>
        <w:t>评价组</w:t>
      </w:r>
      <w:proofErr w:type="gramEnd"/>
      <w:r>
        <w:rPr>
          <w:rFonts w:ascii="Times New Roman" w:eastAsia="仿宋_GB2312" w:hAnsi="Times New Roman" w:cs="Times New Roman"/>
          <w:sz w:val="32"/>
          <w:szCs w:val="32"/>
        </w:rPr>
        <w:t>结合专家意见，从项目决策、项目管理、项目绩效方面对项目进行分析评议，确定绩效评价指标体系；</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）现场沟通及考察，对项目涉及的各单位进行现场沟通及考察，审核科技专项资金的使用去向、申报项目的建设情况、申报项目相关产品的销售情况、项目申报单位的财务状况等。</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分析评价</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）评价小组根据项目核实情况，按照所确定的评价指标体系对项目绩效情况进行评价打分，得出绩效等级；</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）总结评价结论，同时归纳问题、提出建议。</w:t>
      </w:r>
    </w:p>
    <w:p>
      <w:pPr>
        <w:pStyle w:val="af"/>
        <w:ind w:firstLine="640"/>
        <w:rPr>
          <w:rFonts w:ascii="Times New Roman" w:eastAsia="黑体" w:hAnsi="Times New Roman" w:cs="Times New Roman"/>
          <w:bCs/>
          <w:sz w:val="32"/>
          <w:szCs w:val="32"/>
        </w:rPr>
      </w:pPr>
      <w:r>
        <w:rPr>
          <w:rFonts w:ascii="Times New Roman" w:eastAsia="黑体" w:hAnsi="Times New Roman" w:cs="Times New Roman"/>
          <w:bCs/>
          <w:sz w:val="32"/>
          <w:szCs w:val="32"/>
        </w:rPr>
        <w:t>三、绩效评价指标分析情况</w:t>
      </w:r>
    </w:p>
    <w:p>
      <w:pPr>
        <w:pStyle w:val="af"/>
        <w:ind w:firstLine="640"/>
        <w:rPr>
          <w:rFonts w:ascii="Times New Roman" w:eastAsia="楷体_GB2312" w:hAnsi="Times New Roman" w:cs="Times New Roman"/>
          <w:bCs/>
          <w:sz w:val="32"/>
          <w:szCs w:val="32"/>
        </w:rPr>
      </w:pPr>
      <w:r>
        <w:rPr>
          <w:rFonts w:ascii="Times New Roman" w:eastAsia="楷体_GB2312" w:hAnsi="Times New Roman" w:cs="Times New Roman"/>
          <w:bCs/>
          <w:sz w:val="32"/>
          <w:szCs w:val="32"/>
        </w:rPr>
        <w:t>（一）项目资金情况分析</w:t>
      </w:r>
    </w:p>
    <w:p>
      <w:pPr>
        <w:pStyle w:val="af"/>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项目资金到位情况分析</w:t>
      </w:r>
    </w:p>
    <w:p>
      <w:pPr>
        <w:ind w:firstLine="576"/>
        <w:rPr>
          <w:rFonts w:ascii="Times New Roman" w:eastAsia="仿宋_GB2312" w:hAnsi="Times New Roman" w:cs="Times New Roman"/>
          <w:sz w:val="32"/>
          <w:szCs w:val="32"/>
        </w:rPr>
      </w:pPr>
      <w:r>
        <w:rPr>
          <w:rFonts w:ascii="Times New Roman" w:eastAsia="仿宋_GB2312" w:hAnsi="Times New Roman" w:cs="Times New Roman"/>
          <w:sz w:val="32"/>
          <w:szCs w:val="32"/>
        </w:rPr>
        <w:t>我们现场对西青区科技局的相关会计收支明细账、会计凭证等资料进行了详细的审核，西青区</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年科技攻关和科技成果转化及产业化项目，涉及被扶持单位</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家，涉及项目资金</w:t>
      </w:r>
      <w:r>
        <w:rPr>
          <w:rFonts w:ascii="Times New Roman" w:eastAsia="仿宋_GB2312" w:hAnsi="Times New Roman" w:cs="Times New Roman"/>
          <w:sz w:val="32"/>
          <w:szCs w:val="32"/>
        </w:rPr>
        <w:t>222.90</w:t>
      </w:r>
      <w:r>
        <w:rPr>
          <w:rFonts w:ascii="Times New Roman" w:eastAsia="仿宋_GB2312" w:hAnsi="Times New Roman" w:cs="Times New Roman"/>
          <w:sz w:val="32"/>
          <w:szCs w:val="32"/>
        </w:rPr>
        <w:t>万元。</w:t>
      </w:r>
    </w:p>
    <w:p>
      <w:pPr>
        <w:ind w:firstLine="576"/>
        <w:rPr>
          <w:rFonts w:ascii="Times New Roman" w:eastAsia="仿宋_GB2312" w:hAnsi="Times New Roman" w:cs="Times New Roman"/>
          <w:sz w:val="32"/>
          <w:szCs w:val="32"/>
        </w:rPr>
      </w:pPr>
      <w:r>
        <w:rPr>
          <w:rFonts w:ascii="Times New Roman" w:eastAsia="仿宋_GB2312" w:hAnsi="Times New Roman" w:cs="Times New Roman"/>
          <w:sz w:val="32"/>
          <w:szCs w:val="32"/>
        </w:rPr>
        <w:t>截至</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22</w:t>
      </w:r>
      <w:r>
        <w:rPr>
          <w:rFonts w:ascii="Times New Roman" w:eastAsia="仿宋_GB2312" w:hAnsi="Times New Roman" w:cs="Times New Roman"/>
          <w:sz w:val="32"/>
          <w:szCs w:val="32"/>
        </w:rPr>
        <w:t>日，上述资金全部到位，并发放至</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家被扶持单位。具体明细如下：</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414"/>
        <w:gridCol w:w="2126"/>
        <w:gridCol w:w="1553"/>
        <w:gridCol w:w="1134"/>
        <w:gridCol w:w="856"/>
      </w:tblGrid>
      <w:tr>
        <w:trPr>
          <w:trHeight w:val="663"/>
          <w:tblHeader/>
          <w:jc w:val="center"/>
        </w:trPr>
        <w:tc>
          <w:tcPr>
            <w:tcW w:w="1879"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项目名称</w:t>
            </w:r>
          </w:p>
        </w:tc>
        <w:tc>
          <w:tcPr>
            <w:tcW w:w="1170"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申报单位</w:t>
            </w:r>
          </w:p>
        </w:tc>
        <w:tc>
          <w:tcPr>
            <w:tcW w:w="855"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项目合作单位</w:t>
            </w:r>
          </w:p>
        </w:tc>
        <w:tc>
          <w:tcPr>
            <w:tcW w:w="624"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补助金额</w:t>
            </w:r>
          </w:p>
        </w:tc>
        <w:tc>
          <w:tcPr>
            <w:tcW w:w="471"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资金到位情况</w:t>
            </w:r>
          </w:p>
        </w:tc>
      </w:tr>
      <w:tr>
        <w:trPr>
          <w:trHeight w:val="680"/>
          <w:jc w:val="center"/>
        </w:trPr>
        <w:tc>
          <w:tcPr>
            <w:tcW w:w="1879"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应用新型智能化</w:t>
            </w:r>
            <w:r>
              <w:rPr>
                <w:rFonts w:ascii="Times New Roman" w:eastAsia="仿宋_GB2312" w:hAnsi="Times New Roman" w:cs="Times New Roman"/>
                <w:kern w:val="0"/>
                <w:sz w:val="24"/>
                <w:szCs w:val="24"/>
              </w:rPr>
              <w:t>VOCs</w:t>
            </w:r>
            <w:r>
              <w:rPr>
                <w:rFonts w:ascii="Times New Roman" w:eastAsia="仿宋_GB2312" w:hAnsi="Times New Roman" w:cs="Times New Roman"/>
                <w:kern w:val="0"/>
                <w:sz w:val="24"/>
                <w:szCs w:val="24"/>
              </w:rPr>
              <w:t>废气治理技术研发与引用</w:t>
            </w:r>
          </w:p>
        </w:tc>
        <w:tc>
          <w:tcPr>
            <w:tcW w:w="1170"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天津天迈节能设备有限公司</w:t>
            </w:r>
          </w:p>
        </w:tc>
        <w:tc>
          <w:tcPr>
            <w:tcW w:w="855"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河北工业大学</w:t>
            </w:r>
          </w:p>
        </w:tc>
        <w:tc>
          <w:tcPr>
            <w:tcW w:w="624" w:type="pct"/>
            <w:shd w:val="clear" w:color="auto" w:fill="auto"/>
            <w:tcMar>
              <w:top w:w="10" w:type="dxa"/>
              <w:left w:w="10" w:type="dxa"/>
              <w:right w:w="10" w:type="dxa"/>
            </w:tcMar>
            <w:vAlign w:val="center"/>
          </w:tcPr>
          <w:p>
            <w:pPr>
              <w:widowControl/>
              <w:jc w:val="center"/>
              <w:textAlignment w:val="bottom"/>
              <w:rPr>
                <w:rFonts w:ascii="Times New Roman" w:eastAsia="仿宋_GB2312" w:hAnsi="Times New Roman" w:cs="Times New Roman"/>
                <w:sz w:val="24"/>
                <w:szCs w:val="24"/>
              </w:rPr>
            </w:pPr>
            <w:r>
              <w:rPr>
                <w:rFonts w:ascii="Times New Roman" w:eastAsia="仿宋_GB2312" w:hAnsi="Times New Roman" w:cs="Times New Roman"/>
                <w:kern w:val="0"/>
                <w:sz w:val="24"/>
                <w:szCs w:val="24"/>
              </w:rPr>
              <w:t>50</w:t>
            </w:r>
            <w:r>
              <w:rPr>
                <w:rFonts w:ascii="Times New Roman" w:eastAsia="仿宋_GB2312" w:hAnsi="Times New Roman" w:cs="Times New Roman"/>
                <w:kern w:val="0"/>
                <w:sz w:val="24"/>
                <w:szCs w:val="24"/>
              </w:rPr>
              <w:t>万元</w:t>
            </w:r>
          </w:p>
        </w:tc>
        <w:tc>
          <w:tcPr>
            <w:tcW w:w="471" w:type="pct"/>
            <w:shd w:val="clear" w:color="auto" w:fill="auto"/>
            <w:tcMar>
              <w:top w:w="10" w:type="dxa"/>
              <w:left w:w="10" w:type="dxa"/>
              <w:right w:w="10" w:type="dxa"/>
            </w:tcMar>
            <w:vAlign w:val="center"/>
          </w:tcPr>
          <w:p>
            <w:pPr>
              <w:widowControl/>
              <w:jc w:val="center"/>
              <w:textAlignment w:val="bottom"/>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已到位</w:t>
            </w:r>
          </w:p>
        </w:tc>
      </w:tr>
      <w:tr>
        <w:trPr>
          <w:trHeight w:val="680"/>
          <w:jc w:val="center"/>
        </w:trPr>
        <w:tc>
          <w:tcPr>
            <w:tcW w:w="1879"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绿道成</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智能交通车速诱导技术及系统</w:t>
            </w:r>
          </w:p>
        </w:tc>
        <w:tc>
          <w:tcPr>
            <w:tcW w:w="1170"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爱易成技术（天津）有限公司</w:t>
            </w:r>
          </w:p>
        </w:tc>
        <w:tc>
          <w:tcPr>
            <w:tcW w:w="855"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天津大学</w:t>
            </w:r>
          </w:p>
        </w:tc>
        <w:tc>
          <w:tcPr>
            <w:tcW w:w="624" w:type="pct"/>
            <w:shd w:val="clear" w:color="auto" w:fill="auto"/>
            <w:tcMar>
              <w:top w:w="10" w:type="dxa"/>
              <w:left w:w="10" w:type="dxa"/>
              <w:right w:w="10" w:type="dxa"/>
            </w:tcMar>
            <w:vAlign w:val="center"/>
          </w:tcPr>
          <w:p>
            <w:pPr>
              <w:widowControl/>
              <w:jc w:val="center"/>
              <w:textAlignment w:val="bottom"/>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50</w:t>
            </w:r>
            <w:r>
              <w:rPr>
                <w:rFonts w:ascii="Times New Roman" w:eastAsia="仿宋_GB2312" w:hAnsi="Times New Roman" w:cs="Times New Roman"/>
                <w:kern w:val="0"/>
                <w:sz w:val="24"/>
                <w:szCs w:val="24"/>
              </w:rPr>
              <w:t>万元</w:t>
            </w:r>
          </w:p>
        </w:tc>
        <w:tc>
          <w:tcPr>
            <w:tcW w:w="471" w:type="pct"/>
            <w:shd w:val="clear" w:color="auto" w:fill="auto"/>
            <w:tcMar>
              <w:top w:w="10" w:type="dxa"/>
              <w:left w:w="10" w:type="dxa"/>
              <w:right w:w="10" w:type="dxa"/>
            </w:tcMar>
            <w:vAlign w:val="center"/>
          </w:tcPr>
          <w:p>
            <w:pPr>
              <w:widowControl/>
              <w:jc w:val="center"/>
              <w:textAlignment w:val="bottom"/>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已到位</w:t>
            </w:r>
          </w:p>
        </w:tc>
      </w:tr>
      <w:tr>
        <w:trPr>
          <w:trHeight w:val="680"/>
          <w:jc w:val="center"/>
        </w:trPr>
        <w:tc>
          <w:tcPr>
            <w:tcW w:w="1879"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经典名方</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清肺</w:t>
            </w:r>
            <w:proofErr w:type="gramStart"/>
            <w:r>
              <w:rPr>
                <w:rFonts w:ascii="Times New Roman" w:eastAsia="仿宋_GB2312" w:hAnsi="Times New Roman" w:cs="Times New Roman"/>
                <w:kern w:val="0"/>
                <w:sz w:val="24"/>
                <w:szCs w:val="24"/>
              </w:rPr>
              <w:t>汤标准</w:t>
            </w:r>
            <w:proofErr w:type="gramEnd"/>
            <w:r>
              <w:rPr>
                <w:rFonts w:ascii="Times New Roman" w:eastAsia="仿宋_GB2312" w:hAnsi="Times New Roman" w:cs="Times New Roman"/>
                <w:kern w:val="0"/>
                <w:sz w:val="24"/>
                <w:szCs w:val="24"/>
              </w:rPr>
              <w:t>颗粒研究</w:t>
            </w:r>
          </w:p>
        </w:tc>
        <w:tc>
          <w:tcPr>
            <w:tcW w:w="1170"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天津同仁堂集团</w:t>
            </w:r>
          </w:p>
          <w:p>
            <w:pPr>
              <w:widowControl/>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股份有限公司</w:t>
            </w:r>
          </w:p>
        </w:tc>
        <w:tc>
          <w:tcPr>
            <w:tcW w:w="855"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天津中医药</w:t>
            </w:r>
          </w:p>
          <w:p>
            <w:pPr>
              <w:widowControl/>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大学</w:t>
            </w:r>
          </w:p>
        </w:tc>
        <w:tc>
          <w:tcPr>
            <w:tcW w:w="624" w:type="pct"/>
            <w:shd w:val="clear" w:color="auto" w:fill="auto"/>
            <w:tcMar>
              <w:top w:w="10" w:type="dxa"/>
              <w:left w:w="10" w:type="dxa"/>
              <w:right w:w="10" w:type="dxa"/>
            </w:tcMar>
            <w:vAlign w:val="center"/>
          </w:tcPr>
          <w:p>
            <w:pPr>
              <w:widowControl/>
              <w:jc w:val="center"/>
              <w:textAlignment w:val="bottom"/>
              <w:rPr>
                <w:rFonts w:ascii="Times New Roman" w:eastAsia="仿宋_GB2312" w:hAnsi="Times New Roman" w:cs="Times New Roman"/>
                <w:sz w:val="24"/>
                <w:szCs w:val="24"/>
              </w:rPr>
            </w:pPr>
            <w:r>
              <w:rPr>
                <w:rFonts w:ascii="Times New Roman" w:eastAsia="仿宋_GB2312" w:hAnsi="Times New Roman" w:cs="Times New Roman"/>
                <w:kern w:val="0"/>
                <w:sz w:val="24"/>
                <w:szCs w:val="24"/>
              </w:rPr>
              <w:t>50</w:t>
            </w:r>
            <w:r>
              <w:rPr>
                <w:rFonts w:ascii="Times New Roman" w:eastAsia="仿宋_GB2312" w:hAnsi="Times New Roman" w:cs="Times New Roman"/>
                <w:kern w:val="0"/>
                <w:sz w:val="24"/>
                <w:szCs w:val="24"/>
              </w:rPr>
              <w:t>万元</w:t>
            </w:r>
          </w:p>
        </w:tc>
        <w:tc>
          <w:tcPr>
            <w:tcW w:w="471" w:type="pct"/>
            <w:shd w:val="clear" w:color="auto" w:fill="auto"/>
            <w:tcMar>
              <w:top w:w="10" w:type="dxa"/>
              <w:left w:w="10" w:type="dxa"/>
              <w:right w:w="10" w:type="dxa"/>
            </w:tcMar>
            <w:vAlign w:val="center"/>
          </w:tcPr>
          <w:p>
            <w:pPr>
              <w:widowControl/>
              <w:jc w:val="center"/>
              <w:textAlignment w:val="bottom"/>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已到位</w:t>
            </w:r>
          </w:p>
        </w:tc>
      </w:tr>
      <w:tr>
        <w:trPr>
          <w:trHeight w:val="680"/>
          <w:jc w:val="center"/>
        </w:trPr>
        <w:tc>
          <w:tcPr>
            <w:tcW w:w="1879"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基于互联网</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肉类食品产运销与安全保障体系京津冀一体化产业化工程</w:t>
            </w:r>
          </w:p>
        </w:tc>
        <w:tc>
          <w:tcPr>
            <w:tcW w:w="1170"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天津二商迎宾肉类食品有限公司</w:t>
            </w:r>
          </w:p>
        </w:tc>
        <w:tc>
          <w:tcPr>
            <w:tcW w:w="855"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天津科技大学</w:t>
            </w:r>
          </w:p>
        </w:tc>
        <w:tc>
          <w:tcPr>
            <w:tcW w:w="624" w:type="pct"/>
            <w:shd w:val="clear" w:color="auto" w:fill="auto"/>
            <w:tcMar>
              <w:top w:w="10" w:type="dxa"/>
              <w:left w:w="10" w:type="dxa"/>
              <w:right w:w="10" w:type="dxa"/>
            </w:tcMar>
            <w:vAlign w:val="center"/>
          </w:tcPr>
          <w:p>
            <w:pPr>
              <w:widowControl/>
              <w:jc w:val="center"/>
              <w:textAlignment w:val="bottom"/>
              <w:rPr>
                <w:rFonts w:ascii="Times New Roman" w:eastAsia="仿宋_GB2312" w:hAnsi="Times New Roman" w:cs="Times New Roman"/>
                <w:sz w:val="24"/>
                <w:szCs w:val="24"/>
              </w:rPr>
            </w:pPr>
            <w:r>
              <w:rPr>
                <w:rFonts w:ascii="Times New Roman" w:eastAsia="仿宋_GB2312" w:hAnsi="Times New Roman" w:cs="Times New Roman"/>
                <w:kern w:val="0"/>
                <w:sz w:val="24"/>
                <w:szCs w:val="24"/>
              </w:rPr>
              <w:t>50</w:t>
            </w:r>
            <w:r>
              <w:rPr>
                <w:rFonts w:ascii="Times New Roman" w:eastAsia="仿宋_GB2312" w:hAnsi="Times New Roman" w:cs="Times New Roman"/>
                <w:kern w:val="0"/>
                <w:sz w:val="24"/>
                <w:szCs w:val="24"/>
              </w:rPr>
              <w:t>万元</w:t>
            </w:r>
          </w:p>
        </w:tc>
        <w:tc>
          <w:tcPr>
            <w:tcW w:w="471" w:type="pct"/>
            <w:shd w:val="clear" w:color="auto" w:fill="auto"/>
            <w:tcMar>
              <w:top w:w="10" w:type="dxa"/>
              <w:left w:w="10" w:type="dxa"/>
              <w:right w:w="10" w:type="dxa"/>
            </w:tcMar>
            <w:vAlign w:val="center"/>
          </w:tcPr>
          <w:p>
            <w:pPr>
              <w:widowControl/>
              <w:jc w:val="center"/>
              <w:textAlignment w:val="bottom"/>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已到位</w:t>
            </w:r>
          </w:p>
        </w:tc>
      </w:tr>
      <w:tr>
        <w:trPr>
          <w:trHeight w:val="680"/>
          <w:jc w:val="center"/>
        </w:trPr>
        <w:tc>
          <w:tcPr>
            <w:tcW w:w="1879"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紧固件生产管理的智能化改造提升</w:t>
            </w:r>
          </w:p>
        </w:tc>
        <w:tc>
          <w:tcPr>
            <w:tcW w:w="1170"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天津市浩越全五金制品股份有限公司</w:t>
            </w:r>
          </w:p>
        </w:tc>
        <w:tc>
          <w:tcPr>
            <w:tcW w:w="855"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天津工业大学</w:t>
            </w:r>
          </w:p>
        </w:tc>
        <w:tc>
          <w:tcPr>
            <w:tcW w:w="624" w:type="pct"/>
            <w:shd w:val="clear" w:color="auto" w:fill="auto"/>
            <w:tcMar>
              <w:top w:w="10" w:type="dxa"/>
              <w:left w:w="10" w:type="dxa"/>
              <w:right w:w="10" w:type="dxa"/>
            </w:tcMar>
            <w:vAlign w:val="center"/>
          </w:tcPr>
          <w:p>
            <w:pPr>
              <w:widowControl/>
              <w:jc w:val="center"/>
              <w:textAlignment w:val="bottom"/>
              <w:rPr>
                <w:rFonts w:ascii="Times New Roman" w:eastAsia="仿宋_GB2312" w:hAnsi="Times New Roman" w:cs="Times New Roman"/>
                <w:sz w:val="24"/>
                <w:szCs w:val="24"/>
              </w:rPr>
            </w:pPr>
            <w:r>
              <w:rPr>
                <w:rFonts w:ascii="Times New Roman" w:eastAsia="仿宋_GB2312" w:hAnsi="Times New Roman" w:cs="Times New Roman"/>
                <w:kern w:val="0"/>
                <w:sz w:val="24"/>
                <w:szCs w:val="24"/>
              </w:rPr>
              <w:t>13</w:t>
            </w:r>
            <w:r>
              <w:rPr>
                <w:rFonts w:ascii="Times New Roman" w:eastAsia="仿宋_GB2312" w:hAnsi="Times New Roman" w:cs="Times New Roman"/>
                <w:kern w:val="0"/>
                <w:sz w:val="24"/>
                <w:szCs w:val="24"/>
              </w:rPr>
              <w:t>万元</w:t>
            </w:r>
          </w:p>
        </w:tc>
        <w:tc>
          <w:tcPr>
            <w:tcW w:w="471" w:type="pct"/>
            <w:shd w:val="clear" w:color="auto" w:fill="auto"/>
            <w:tcMar>
              <w:top w:w="10" w:type="dxa"/>
              <w:left w:w="10" w:type="dxa"/>
              <w:right w:w="10" w:type="dxa"/>
            </w:tcMar>
            <w:vAlign w:val="center"/>
          </w:tcPr>
          <w:p>
            <w:pPr>
              <w:widowControl/>
              <w:jc w:val="center"/>
              <w:textAlignment w:val="bottom"/>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已到位</w:t>
            </w:r>
          </w:p>
        </w:tc>
      </w:tr>
      <w:tr>
        <w:trPr>
          <w:trHeight w:val="680"/>
          <w:jc w:val="center"/>
        </w:trPr>
        <w:tc>
          <w:tcPr>
            <w:tcW w:w="1879"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防爆排爆轻量化机器人关节模块</w:t>
            </w:r>
          </w:p>
        </w:tc>
        <w:tc>
          <w:tcPr>
            <w:tcW w:w="1170"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天津市新正防爆电器有限公司</w:t>
            </w:r>
          </w:p>
        </w:tc>
        <w:tc>
          <w:tcPr>
            <w:tcW w:w="855"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天津大学</w:t>
            </w:r>
          </w:p>
        </w:tc>
        <w:tc>
          <w:tcPr>
            <w:tcW w:w="624" w:type="pct"/>
            <w:shd w:val="clear" w:color="auto" w:fill="auto"/>
            <w:tcMar>
              <w:top w:w="10" w:type="dxa"/>
              <w:left w:w="10" w:type="dxa"/>
              <w:right w:w="10" w:type="dxa"/>
            </w:tcMar>
            <w:vAlign w:val="center"/>
          </w:tcPr>
          <w:p>
            <w:pPr>
              <w:widowControl/>
              <w:jc w:val="center"/>
              <w:textAlignment w:val="bottom"/>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9.9</w:t>
            </w:r>
            <w:r>
              <w:rPr>
                <w:rFonts w:ascii="Times New Roman" w:eastAsia="仿宋_GB2312" w:hAnsi="Times New Roman" w:cs="Times New Roman"/>
                <w:kern w:val="0"/>
                <w:sz w:val="24"/>
                <w:szCs w:val="24"/>
              </w:rPr>
              <w:t>万元</w:t>
            </w:r>
          </w:p>
        </w:tc>
        <w:tc>
          <w:tcPr>
            <w:tcW w:w="471" w:type="pct"/>
            <w:shd w:val="clear" w:color="auto" w:fill="auto"/>
            <w:tcMar>
              <w:top w:w="10" w:type="dxa"/>
              <w:left w:w="10" w:type="dxa"/>
              <w:right w:w="10" w:type="dxa"/>
            </w:tcMar>
            <w:vAlign w:val="center"/>
          </w:tcPr>
          <w:p>
            <w:pPr>
              <w:widowControl/>
              <w:jc w:val="center"/>
              <w:textAlignment w:val="bottom"/>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已到位</w:t>
            </w:r>
          </w:p>
        </w:tc>
      </w:tr>
    </w:tbl>
    <w:p>
      <w:pPr>
        <w:pStyle w:val="af"/>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项目资金使用情况分析</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根据西青区科技局提供的相关申报及审核资料，西青区</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年科技攻关和科技成果转化及产业化项目应发放项目资金</w:t>
      </w:r>
      <w:r>
        <w:rPr>
          <w:rFonts w:ascii="Times New Roman" w:eastAsia="仿宋_GB2312" w:hAnsi="Times New Roman" w:cs="Times New Roman"/>
          <w:sz w:val="32"/>
          <w:szCs w:val="32"/>
        </w:rPr>
        <w:t>222.90</w:t>
      </w:r>
      <w:r>
        <w:rPr>
          <w:rFonts w:ascii="Times New Roman" w:eastAsia="仿宋_GB2312" w:hAnsi="Times New Roman" w:cs="Times New Roman"/>
          <w:sz w:val="32"/>
          <w:szCs w:val="32"/>
        </w:rPr>
        <w:t>万元，已经支付金额</w:t>
      </w:r>
      <w:r>
        <w:rPr>
          <w:rFonts w:ascii="Times New Roman" w:eastAsia="仿宋_GB2312" w:hAnsi="Times New Roman" w:cs="Times New Roman"/>
          <w:sz w:val="32"/>
          <w:szCs w:val="32"/>
        </w:rPr>
        <w:t>222.90</w:t>
      </w:r>
      <w:r>
        <w:rPr>
          <w:rFonts w:ascii="Times New Roman" w:eastAsia="仿宋_GB2312" w:hAnsi="Times New Roman" w:cs="Times New Roman"/>
          <w:sz w:val="32"/>
          <w:szCs w:val="32"/>
        </w:rPr>
        <w:t>万元。</w:t>
      </w:r>
    </w:p>
    <w:p>
      <w:pPr>
        <w:pStyle w:val="af"/>
        <w:ind w:firstLine="640"/>
        <w:rPr>
          <w:rFonts w:ascii="Times New Roman" w:eastAsia="仿宋_GB2312" w:hAnsi="Times New Roman" w:cs="Times New Roman"/>
          <w:bCs/>
          <w:sz w:val="32"/>
          <w:szCs w:val="32"/>
        </w:rPr>
      </w:pPr>
      <w:r>
        <w:rPr>
          <w:rFonts w:ascii="Times New Roman" w:eastAsia="仿宋_GB2312" w:hAnsi="Times New Roman" w:cs="Times New Roman"/>
          <w:sz w:val="32"/>
          <w:szCs w:val="32"/>
        </w:rPr>
        <w:t>经账务审查，我们没有发现资金使用不合</w:t>
      </w:r>
      <w:proofErr w:type="gramStart"/>
      <w:r>
        <w:rPr>
          <w:rFonts w:ascii="Times New Roman" w:eastAsia="仿宋_GB2312" w:hAnsi="Times New Roman" w:cs="Times New Roman"/>
          <w:sz w:val="32"/>
          <w:szCs w:val="32"/>
        </w:rPr>
        <w:t>规</w:t>
      </w:r>
      <w:proofErr w:type="gramEnd"/>
      <w:r>
        <w:rPr>
          <w:rFonts w:ascii="Times New Roman" w:eastAsia="仿宋_GB2312" w:hAnsi="Times New Roman" w:cs="Times New Roman"/>
          <w:sz w:val="32"/>
          <w:szCs w:val="32"/>
        </w:rPr>
        <w:t>的情况，项目资金拨付及时，相关财政资金全部用于本项目，经费未出现违法违规使用问题，做到了专款专用。</w:t>
      </w:r>
    </w:p>
    <w:p>
      <w:pPr>
        <w:pStyle w:val="af"/>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3.</w:t>
      </w:r>
      <w:r>
        <w:rPr>
          <w:rFonts w:ascii="Times New Roman" w:eastAsia="仿宋_GB2312" w:hAnsi="Times New Roman" w:cs="Times New Roman"/>
          <w:bCs/>
          <w:sz w:val="32"/>
          <w:szCs w:val="32"/>
        </w:rPr>
        <w:t>项目资金管理情况分析</w:t>
      </w:r>
    </w:p>
    <w:p>
      <w:pPr>
        <w:ind w:rightChars="134" w:right="281"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西青区</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年科技攻关和科技成果转化及产业化项目是西青区科技局</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年度预算执行项目，其财务收支制度统一遵循《天津市西青区项目资金管理办法》的相关规定。西青区科技局财务管理上对</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年全部科技项目政策扶持资金设置统一科目进行管理，全部扶持资金支出均由</w:t>
      </w:r>
      <w:r>
        <w:rPr>
          <w:rFonts w:ascii="Times New Roman" w:eastAsia="仿宋_GB2312" w:hAnsi="Times New Roman" w:cs="Times New Roman" w:hint="eastAsia"/>
          <w:sz w:val="32"/>
          <w:szCs w:val="32"/>
        </w:rPr>
        <w:t>西青</w:t>
      </w:r>
      <w:r>
        <w:rPr>
          <w:rFonts w:ascii="Times New Roman" w:eastAsia="仿宋_GB2312" w:hAnsi="Times New Roman" w:cs="Times New Roman"/>
          <w:sz w:val="32"/>
          <w:szCs w:val="32"/>
        </w:rPr>
        <w:t>区财政局直接支付后，西青区科技局同步进行会计记录。其财务管理制度较为健全，财务监控有效。</w:t>
      </w:r>
    </w:p>
    <w:p>
      <w:pPr>
        <w:pStyle w:val="af"/>
        <w:ind w:firstLine="640"/>
        <w:rPr>
          <w:rFonts w:ascii="Times New Roman" w:eastAsia="楷体_GB2312" w:hAnsi="Times New Roman" w:cs="Times New Roman"/>
          <w:bCs/>
          <w:sz w:val="32"/>
          <w:szCs w:val="32"/>
        </w:rPr>
      </w:pPr>
      <w:r>
        <w:rPr>
          <w:rFonts w:ascii="Times New Roman" w:eastAsia="楷体_GB2312" w:hAnsi="Times New Roman" w:cs="Times New Roman"/>
          <w:bCs/>
          <w:sz w:val="32"/>
          <w:szCs w:val="32"/>
        </w:rPr>
        <w:t>（二）项目实施情况分析</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项目组织情况分析</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西青区科技局</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23</w:t>
      </w:r>
      <w:r>
        <w:rPr>
          <w:rFonts w:ascii="Times New Roman" w:eastAsia="仿宋_GB2312" w:hAnsi="Times New Roman" w:cs="Times New Roman"/>
          <w:sz w:val="32"/>
          <w:szCs w:val="32"/>
        </w:rPr>
        <w:t>日下发了《天津市西青区科学技术委员会关于印发</w:t>
      </w:r>
      <w:r>
        <w:rPr>
          <w:rFonts w:ascii="Times New Roman" w:eastAsia="仿宋_GB2312" w:hAnsi="Times New Roman" w:cs="Times New Roman"/>
          <w:sz w:val="32"/>
          <w:szCs w:val="32"/>
        </w:rPr>
        <w:t>&lt;</w:t>
      </w:r>
      <w:r>
        <w:rPr>
          <w:rFonts w:ascii="Times New Roman" w:eastAsia="仿宋_GB2312" w:hAnsi="Times New Roman" w:cs="Times New Roman"/>
          <w:sz w:val="32"/>
          <w:szCs w:val="32"/>
        </w:rPr>
        <w:t>对我市科技型中小企业与高校、科研院所共同开展的科技攻关和科技成果转化及产业化项目予以支持的实施细则</w:t>
      </w:r>
      <w:r>
        <w:rPr>
          <w:rFonts w:ascii="Times New Roman" w:eastAsia="仿宋_GB2312" w:hAnsi="Times New Roman" w:cs="Times New Roman"/>
          <w:sz w:val="32"/>
          <w:szCs w:val="32"/>
        </w:rPr>
        <w:t>&gt;</w:t>
      </w:r>
      <w:r>
        <w:rPr>
          <w:rFonts w:ascii="Times New Roman" w:eastAsia="仿宋_GB2312" w:hAnsi="Times New Roman" w:cs="Times New Roman"/>
          <w:sz w:val="32"/>
          <w:szCs w:val="32"/>
        </w:rPr>
        <w:t>的通知》（西青科发〔</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号）文件，将项目实施细则下发至西青区各相关部门。</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项目管理情况分析</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西青区科技局于</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29</w:t>
      </w:r>
      <w:r>
        <w:rPr>
          <w:rFonts w:ascii="Times New Roman" w:eastAsia="仿宋_GB2312" w:hAnsi="Times New Roman" w:cs="Times New Roman"/>
          <w:sz w:val="32"/>
          <w:szCs w:val="32"/>
        </w:rPr>
        <w:t>日下发了《</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年度西青区关于受理支持高端制造创新</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条中科技项目的通知》，开始受理科技攻关和科技成果转化及产业化项目申请，主要由下属单位西青区生产力促进中心负责。</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截止</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日，受理科技攻关和科技成果转化及产业化项目申请</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项，根据相关实施细则，西青区生产力促进中心对企业申请资料进行初审，并将初审结果上报至西青区科技局党组会及局长办公会审核。项目申报情况及初审情况如下：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839"/>
        <w:gridCol w:w="2267"/>
        <w:gridCol w:w="1825"/>
        <w:gridCol w:w="877"/>
      </w:tblGrid>
      <w:tr>
        <w:trPr>
          <w:trHeight w:val="624"/>
          <w:tblHeader/>
          <w:jc w:val="center"/>
        </w:trPr>
        <w:tc>
          <w:tcPr>
            <w:tcW w:w="2179"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项目名称</w:t>
            </w:r>
          </w:p>
        </w:tc>
        <w:tc>
          <w:tcPr>
            <w:tcW w:w="1287"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申报单位</w:t>
            </w:r>
          </w:p>
        </w:tc>
        <w:tc>
          <w:tcPr>
            <w:tcW w:w="1036"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项目合作单位</w:t>
            </w:r>
          </w:p>
        </w:tc>
        <w:tc>
          <w:tcPr>
            <w:tcW w:w="498"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是否通过初审</w:t>
            </w:r>
          </w:p>
        </w:tc>
      </w:tr>
      <w:tr>
        <w:trPr>
          <w:trHeight w:val="680"/>
          <w:jc w:val="center"/>
        </w:trPr>
        <w:tc>
          <w:tcPr>
            <w:tcW w:w="2179"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应用新型智能化</w:t>
            </w:r>
            <w:r>
              <w:rPr>
                <w:rFonts w:ascii="Times New Roman" w:eastAsia="仿宋_GB2312" w:hAnsi="Times New Roman" w:cs="Times New Roman"/>
                <w:kern w:val="0"/>
                <w:sz w:val="24"/>
                <w:szCs w:val="24"/>
              </w:rPr>
              <w:t>VOCs</w:t>
            </w:r>
            <w:r>
              <w:rPr>
                <w:rFonts w:ascii="Times New Roman" w:eastAsia="仿宋_GB2312" w:hAnsi="Times New Roman" w:cs="Times New Roman"/>
                <w:kern w:val="0"/>
                <w:sz w:val="24"/>
                <w:szCs w:val="24"/>
              </w:rPr>
              <w:t>废气治理技术研发与引用</w:t>
            </w:r>
          </w:p>
        </w:tc>
        <w:tc>
          <w:tcPr>
            <w:tcW w:w="1287"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天津天迈节能设备有限公司</w:t>
            </w:r>
          </w:p>
        </w:tc>
        <w:tc>
          <w:tcPr>
            <w:tcW w:w="1036"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河北工业大学</w:t>
            </w:r>
          </w:p>
        </w:tc>
        <w:tc>
          <w:tcPr>
            <w:tcW w:w="498"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w:t>
            </w:r>
          </w:p>
        </w:tc>
      </w:tr>
      <w:tr>
        <w:trPr>
          <w:trHeight w:val="680"/>
          <w:jc w:val="center"/>
        </w:trPr>
        <w:tc>
          <w:tcPr>
            <w:tcW w:w="2179"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绿道成</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智能交通车速诱导技术及系统</w:t>
            </w:r>
          </w:p>
        </w:tc>
        <w:tc>
          <w:tcPr>
            <w:tcW w:w="1287"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爱易成技术（天津）有限公司</w:t>
            </w:r>
          </w:p>
        </w:tc>
        <w:tc>
          <w:tcPr>
            <w:tcW w:w="1036"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天津大学</w:t>
            </w:r>
          </w:p>
        </w:tc>
        <w:tc>
          <w:tcPr>
            <w:tcW w:w="498"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w:t>
            </w:r>
          </w:p>
        </w:tc>
      </w:tr>
      <w:tr>
        <w:trPr>
          <w:trHeight w:val="680"/>
          <w:jc w:val="center"/>
        </w:trPr>
        <w:tc>
          <w:tcPr>
            <w:tcW w:w="2179"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经典名方</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清肺</w:t>
            </w:r>
            <w:proofErr w:type="gramStart"/>
            <w:r>
              <w:rPr>
                <w:rFonts w:ascii="Times New Roman" w:eastAsia="仿宋_GB2312" w:hAnsi="Times New Roman" w:cs="Times New Roman"/>
                <w:kern w:val="0"/>
                <w:sz w:val="24"/>
                <w:szCs w:val="24"/>
              </w:rPr>
              <w:t>汤标准</w:t>
            </w:r>
            <w:proofErr w:type="gramEnd"/>
            <w:r>
              <w:rPr>
                <w:rFonts w:ascii="Times New Roman" w:eastAsia="仿宋_GB2312" w:hAnsi="Times New Roman" w:cs="Times New Roman"/>
                <w:kern w:val="0"/>
                <w:sz w:val="24"/>
                <w:szCs w:val="24"/>
              </w:rPr>
              <w:t>颗粒研究</w:t>
            </w:r>
          </w:p>
        </w:tc>
        <w:tc>
          <w:tcPr>
            <w:tcW w:w="1287"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天津同仁堂集团股份有限公司</w:t>
            </w:r>
          </w:p>
        </w:tc>
        <w:tc>
          <w:tcPr>
            <w:tcW w:w="1036"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天津中医药大学</w:t>
            </w:r>
          </w:p>
        </w:tc>
        <w:tc>
          <w:tcPr>
            <w:tcW w:w="498"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w:t>
            </w:r>
          </w:p>
        </w:tc>
      </w:tr>
      <w:tr>
        <w:trPr>
          <w:trHeight w:val="680"/>
          <w:jc w:val="center"/>
        </w:trPr>
        <w:tc>
          <w:tcPr>
            <w:tcW w:w="2179"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基于互联网</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肉类食品产运销与安全保障体系京津冀一体化产业化工程</w:t>
            </w:r>
          </w:p>
        </w:tc>
        <w:tc>
          <w:tcPr>
            <w:tcW w:w="1287"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天津二商迎宾肉类食品有限公司</w:t>
            </w:r>
          </w:p>
        </w:tc>
        <w:tc>
          <w:tcPr>
            <w:tcW w:w="1036"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天津科技大学</w:t>
            </w:r>
          </w:p>
        </w:tc>
        <w:tc>
          <w:tcPr>
            <w:tcW w:w="498"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w:t>
            </w:r>
          </w:p>
        </w:tc>
      </w:tr>
      <w:tr>
        <w:trPr>
          <w:trHeight w:val="680"/>
          <w:jc w:val="center"/>
        </w:trPr>
        <w:tc>
          <w:tcPr>
            <w:tcW w:w="2179"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紧固件生产管理的智能化改造提升</w:t>
            </w:r>
          </w:p>
        </w:tc>
        <w:tc>
          <w:tcPr>
            <w:tcW w:w="1287"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天津市浩越全五金制品股份有限公司</w:t>
            </w:r>
          </w:p>
        </w:tc>
        <w:tc>
          <w:tcPr>
            <w:tcW w:w="1036"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天津工业大学</w:t>
            </w:r>
          </w:p>
        </w:tc>
        <w:tc>
          <w:tcPr>
            <w:tcW w:w="498"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w:t>
            </w:r>
          </w:p>
        </w:tc>
      </w:tr>
      <w:tr>
        <w:trPr>
          <w:trHeight w:val="680"/>
          <w:jc w:val="center"/>
        </w:trPr>
        <w:tc>
          <w:tcPr>
            <w:tcW w:w="2179"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防爆排爆轻量化机器人关节模块</w:t>
            </w:r>
          </w:p>
        </w:tc>
        <w:tc>
          <w:tcPr>
            <w:tcW w:w="1287"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天津市新正防爆电器有限公司</w:t>
            </w:r>
          </w:p>
        </w:tc>
        <w:tc>
          <w:tcPr>
            <w:tcW w:w="1036"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天津大学</w:t>
            </w:r>
          </w:p>
        </w:tc>
        <w:tc>
          <w:tcPr>
            <w:tcW w:w="498"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w:t>
            </w:r>
          </w:p>
        </w:tc>
      </w:tr>
      <w:tr>
        <w:trPr>
          <w:trHeight w:val="680"/>
          <w:jc w:val="center"/>
        </w:trPr>
        <w:tc>
          <w:tcPr>
            <w:tcW w:w="2179"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基于三维表面金属化技术的天线系统及设备研发</w:t>
            </w:r>
          </w:p>
        </w:tc>
        <w:tc>
          <w:tcPr>
            <w:tcW w:w="1287"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讯创（天津）电子有限公司</w:t>
            </w:r>
          </w:p>
        </w:tc>
        <w:tc>
          <w:tcPr>
            <w:tcW w:w="1036"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天津理工大学</w:t>
            </w:r>
          </w:p>
        </w:tc>
        <w:tc>
          <w:tcPr>
            <w:tcW w:w="498"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否</w:t>
            </w:r>
          </w:p>
        </w:tc>
      </w:tr>
      <w:tr>
        <w:trPr>
          <w:trHeight w:val="680"/>
          <w:jc w:val="center"/>
        </w:trPr>
        <w:tc>
          <w:tcPr>
            <w:tcW w:w="2179"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沙窝萝卜产后流通和贮藏保鲜关键技术研发及产业化应用</w:t>
            </w:r>
          </w:p>
        </w:tc>
        <w:tc>
          <w:tcPr>
            <w:tcW w:w="1287"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天津市曙光沙窝萝卜专业合作社</w:t>
            </w:r>
          </w:p>
        </w:tc>
        <w:tc>
          <w:tcPr>
            <w:tcW w:w="1036"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天津市林业果树</w:t>
            </w:r>
            <w:r>
              <w:rPr>
                <w:rFonts w:ascii="Times New Roman" w:eastAsia="仿宋_GB2312" w:hAnsi="Times New Roman" w:cs="Times New Roman"/>
                <w:kern w:val="0"/>
                <w:sz w:val="24"/>
                <w:szCs w:val="24"/>
              </w:rPr>
              <w:br/>
            </w:r>
            <w:r>
              <w:rPr>
                <w:rFonts w:ascii="Times New Roman" w:eastAsia="仿宋_GB2312" w:hAnsi="Times New Roman" w:cs="Times New Roman"/>
                <w:kern w:val="0"/>
                <w:sz w:val="24"/>
                <w:szCs w:val="24"/>
              </w:rPr>
              <w:t>研究所</w:t>
            </w:r>
          </w:p>
        </w:tc>
        <w:tc>
          <w:tcPr>
            <w:tcW w:w="498"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否</w:t>
            </w:r>
          </w:p>
        </w:tc>
      </w:tr>
      <w:tr>
        <w:trPr>
          <w:trHeight w:val="680"/>
          <w:jc w:val="center"/>
        </w:trPr>
        <w:tc>
          <w:tcPr>
            <w:tcW w:w="2179"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智慧课堂互动系统</w:t>
            </w:r>
          </w:p>
        </w:tc>
        <w:tc>
          <w:tcPr>
            <w:tcW w:w="1287"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天津好时达科技股份有限公司</w:t>
            </w:r>
          </w:p>
        </w:tc>
        <w:tc>
          <w:tcPr>
            <w:tcW w:w="1036"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天津科技大学</w:t>
            </w:r>
          </w:p>
        </w:tc>
        <w:tc>
          <w:tcPr>
            <w:tcW w:w="498"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否</w:t>
            </w:r>
          </w:p>
        </w:tc>
      </w:tr>
      <w:tr>
        <w:trPr>
          <w:trHeight w:val="680"/>
          <w:jc w:val="center"/>
        </w:trPr>
        <w:tc>
          <w:tcPr>
            <w:tcW w:w="2179"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全降解缓冲包装膜</w:t>
            </w:r>
          </w:p>
        </w:tc>
        <w:tc>
          <w:tcPr>
            <w:tcW w:w="1287"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天津金盛昱塑料制品科技股份有限公司</w:t>
            </w:r>
          </w:p>
        </w:tc>
        <w:tc>
          <w:tcPr>
            <w:tcW w:w="1036"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天津科技大学</w:t>
            </w:r>
            <w:r>
              <w:rPr>
                <w:rFonts w:ascii="Times New Roman" w:eastAsia="仿宋_GB2312" w:hAnsi="Times New Roman" w:cs="Times New Roman"/>
                <w:kern w:val="0"/>
                <w:sz w:val="24"/>
                <w:szCs w:val="24"/>
              </w:rPr>
              <w:br/>
            </w:r>
            <w:r>
              <w:rPr>
                <w:rFonts w:ascii="Times New Roman" w:eastAsia="仿宋_GB2312" w:hAnsi="Times New Roman" w:cs="Times New Roman"/>
                <w:kern w:val="0"/>
                <w:sz w:val="24"/>
                <w:szCs w:val="24"/>
              </w:rPr>
              <w:t>化工与材料学院</w:t>
            </w:r>
          </w:p>
        </w:tc>
        <w:tc>
          <w:tcPr>
            <w:tcW w:w="498"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否</w:t>
            </w:r>
          </w:p>
        </w:tc>
      </w:tr>
      <w:tr>
        <w:trPr>
          <w:trHeight w:val="680"/>
          <w:jc w:val="center"/>
        </w:trPr>
        <w:tc>
          <w:tcPr>
            <w:tcW w:w="2179"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传统麻花营养功能化深加工关键技术研发</w:t>
            </w:r>
          </w:p>
        </w:tc>
        <w:tc>
          <w:tcPr>
            <w:tcW w:w="1287"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天津市瀛前祥科技发展有限公司</w:t>
            </w:r>
          </w:p>
        </w:tc>
        <w:tc>
          <w:tcPr>
            <w:tcW w:w="1036"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天津科技大学</w:t>
            </w:r>
            <w:r>
              <w:rPr>
                <w:rFonts w:ascii="Times New Roman" w:eastAsia="仿宋_GB2312" w:hAnsi="Times New Roman" w:cs="Times New Roman"/>
                <w:kern w:val="0"/>
                <w:sz w:val="24"/>
                <w:szCs w:val="24"/>
              </w:rPr>
              <w:br/>
            </w:r>
            <w:r>
              <w:rPr>
                <w:rFonts w:ascii="Times New Roman" w:eastAsia="仿宋_GB2312" w:hAnsi="Times New Roman" w:cs="Times New Roman"/>
                <w:kern w:val="0"/>
                <w:sz w:val="24"/>
                <w:szCs w:val="24"/>
              </w:rPr>
              <w:t>食品工程与生物技术学院</w:t>
            </w:r>
          </w:p>
        </w:tc>
        <w:tc>
          <w:tcPr>
            <w:tcW w:w="498"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否</w:t>
            </w:r>
          </w:p>
        </w:tc>
      </w:tr>
      <w:tr>
        <w:trPr>
          <w:trHeight w:val="680"/>
          <w:jc w:val="center"/>
        </w:trPr>
        <w:tc>
          <w:tcPr>
            <w:tcW w:w="2179"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智能工厂智能管控平台产业化</w:t>
            </w:r>
          </w:p>
        </w:tc>
        <w:tc>
          <w:tcPr>
            <w:tcW w:w="1287"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天津斯沃姆科技发展有限公司</w:t>
            </w:r>
          </w:p>
        </w:tc>
        <w:tc>
          <w:tcPr>
            <w:tcW w:w="1036"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沈阳大学</w:t>
            </w:r>
          </w:p>
        </w:tc>
        <w:tc>
          <w:tcPr>
            <w:tcW w:w="498" w:type="pct"/>
            <w:shd w:val="clear" w:color="auto" w:fill="auto"/>
            <w:tcMar>
              <w:top w:w="10" w:type="dxa"/>
              <w:left w:w="10" w:type="dxa"/>
              <w:right w:w="10" w:type="dxa"/>
            </w:tcMar>
            <w:vAlign w:val="center"/>
          </w:tcPr>
          <w:p>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否</w:t>
            </w:r>
          </w:p>
        </w:tc>
      </w:tr>
    </w:tbl>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根据相关实施细则，</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日至</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日期间，西青区生产力促进中心对通过初审的</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家申报单位进行了现场考察，并将考察结果上报至西青区科技局党组会及局长办公会审核；</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18</w:t>
      </w:r>
      <w:r>
        <w:rPr>
          <w:rFonts w:ascii="Times New Roman" w:eastAsia="仿宋_GB2312" w:hAnsi="Times New Roman" w:cs="Times New Roman"/>
          <w:sz w:val="32"/>
          <w:szCs w:val="32"/>
        </w:rPr>
        <w:t>日至</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19</w:t>
      </w:r>
      <w:r>
        <w:rPr>
          <w:rFonts w:ascii="Times New Roman" w:eastAsia="仿宋_GB2312" w:hAnsi="Times New Roman" w:cs="Times New Roman"/>
          <w:sz w:val="32"/>
          <w:szCs w:val="32"/>
        </w:rPr>
        <w:t>日期间，西青区科技局委托天津市科技创业服务中心聘请专家对通过初审的</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家申报单位申报的项目进行了评审；</w:t>
      </w:r>
      <w:r>
        <w:rPr>
          <w:rFonts w:ascii="Times New Roman" w:eastAsia="仿宋_GB2312" w:hAnsi="Times New Roman" w:cs="Times New Roman"/>
          <w:bCs/>
          <w:sz w:val="32"/>
          <w:szCs w:val="32"/>
        </w:rPr>
        <w:t>2019</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10</w:t>
      </w:r>
      <w:r>
        <w:rPr>
          <w:rFonts w:ascii="Times New Roman" w:eastAsia="仿宋_GB2312" w:hAnsi="Times New Roman" w:cs="Times New Roman"/>
          <w:bCs/>
          <w:sz w:val="32"/>
          <w:szCs w:val="32"/>
        </w:rPr>
        <w:t>月</w:t>
      </w:r>
      <w:r>
        <w:rPr>
          <w:rFonts w:ascii="Times New Roman" w:eastAsia="仿宋_GB2312" w:hAnsi="Times New Roman" w:cs="Times New Roman"/>
          <w:bCs/>
          <w:sz w:val="32"/>
          <w:szCs w:val="32"/>
        </w:rPr>
        <w:t>28</w:t>
      </w:r>
      <w:r>
        <w:rPr>
          <w:rFonts w:ascii="Times New Roman" w:eastAsia="仿宋_GB2312" w:hAnsi="Times New Roman" w:cs="Times New Roman"/>
          <w:bCs/>
          <w:sz w:val="32"/>
          <w:szCs w:val="32"/>
        </w:rPr>
        <w:t>日至</w:t>
      </w:r>
      <w:r>
        <w:rPr>
          <w:rFonts w:ascii="Times New Roman" w:eastAsia="仿宋_GB2312" w:hAnsi="Times New Roman" w:cs="Times New Roman"/>
          <w:bCs/>
          <w:sz w:val="32"/>
          <w:szCs w:val="32"/>
        </w:rPr>
        <w:t>2019</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11</w:t>
      </w:r>
      <w:r>
        <w:rPr>
          <w:rFonts w:ascii="Times New Roman" w:eastAsia="仿宋_GB2312" w:hAnsi="Times New Roman" w:cs="Times New Roman"/>
          <w:bCs/>
          <w:sz w:val="32"/>
          <w:szCs w:val="32"/>
        </w:rPr>
        <w:t>月</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日期间，</w:t>
      </w:r>
      <w:r>
        <w:rPr>
          <w:rFonts w:ascii="Times New Roman" w:eastAsia="仿宋_GB2312" w:hAnsi="Times New Roman" w:cs="Times New Roman"/>
          <w:sz w:val="32"/>
          <w:szCs w:val="32"/>
        </w:rPr>
        <w:t>西青区科技局对拟扶持的科技攻关和科技成果转化及产业化项目进行公示</w:t>
      </w:r>
      <w:r>
        <w:rPr>
          <w:rFonts w:ascii="Times New Roman" w:eastAsia="仿宋_GB2312" w:hAnsi="Times New Roman" w:cs="Times New Roman" w:hint="eastAsia"/>
          <w:sz w:val="32"/>
          <w:szCs w:val="32"/>
        </w:rPr>
        <w:t>。</w:t>
      </w:r>
    </w:p>
    <w:p>
      <w:pPr>
        <w:pStyle w:val="af"/>
        <w:ind w:left="640" w:firstLineChars="0" w:firstLine="0"/>
        <w:rPr>
          <w:rFonts w:ascii="Times New Roman" w:eastAsia="楷体_GB2312" w:hAnsi="Times New Roman" w:cs="Times New Roman"/>
          <w:bCs/>
          <w:sz w:val="32"/>
          <w:szCs w:val="32"/>
        </w:rPr>
      </w:pPr>
      <w:r>
        <w:rPr>
          <w:rFonts w:ascii="Times New Roman" w:eastAsia="楷体_GB2312" w:hAnsi="Times New Roman" w:cs="Times New Roman"/>
          <w:bCs/>
          <w:sz w:val="32"/>
          <w:szCs w:val="32"/>
        </w:rPr>
        <w:t>（三）项目绩效情况分析</w:t>
      </w:r>
    </w:p>
    <w:p>
      <w:pPr>
        <w:pStyle w:val="af"/>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项目效率性分析</w:t>
      </w:r>
    </w:p>
    <w:p>
      <w:pPr>
        <w:pStyle w:val="af"/>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截至</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22</w:t>
      </w:r>
      <w:r>
        <w:rPr>
          <w:rFonts w:ascii="Times New Roman" w:eastAsia="仿宋_GB2312" w:hAnsi="Times New Roman" w:cs="Times New Roman"/>
          <w:sz w:val="32"/>
          <w:szCs w:val="32"/>
        </w:rPr>
        <w:t>日，西青区科技局依据《对我市科技型中小企业与高校、科研院所共同开展的科技攻关和科技成果转化及产业化项目予以支持的实施细则》完成了对科技攻关和科技成果转化及产业化项目申报资料的审核，并在计划时间内将专项资金下发</w:t>
      </w:r>
      <w:proofErr w:type="gramStart"/>
      <w:r>
        <w:rPr>
          <w:rFonts w:ascii="Times New Roman" w:eastAsia="仿宋_GB2312" w:hAnsi="Times New Roman" w:cs="Times New Roman"/>
          <w:sz w:val="32"/>
          <w:szCs w:val="32"/>
        </w:rPr>
        <w:t>至各项</w:t>
      </w:r>
      <w:proofErr w:type="gramEnd"/>
      <w:r>
        <w:rPr>
          <w:rFonts w:ascii="Times New Roman" w:eastAsia="仿宋_GB2312" w:hAnsi="Times New Roman" w:cs="Times New Roman"/>
          <w:sz w:val="32"/>
          <w:szCs w:val="32"/>
        </w:rPr>
        <w:t>目单位。</w:t>
      </w:r>
    </w:p>
    <w:p>
      <w:pPr>
        <w:pStyle w:val="af"/>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项目效益性分析</w:t>
      </w:r>
    </w:p>
    <w:p>
      <w:pPr>
        <w:pStyle w:val="af"/>
        <w:ind w:firstLine="640"/>
        <w:rPr>
          <w:rFonts w:ascii="Times New Roman" w:eastAsia="仿宋_GB2312" w:hAnsi="Times New Roman" w:cs="Times New Roman"/>
          <w:sz w:val="32"/>
          <w:szCs w:val="32"/>
        </w:rPr>
      </w:pPr>
      <w:r>
        <w:rPr>
          <w:rFonts w:ascii="Times New Roman" w:eastAsia="仿宋_GB2312" w:hAnsi="Times New Roman" w:cs="Times New Roman"/>
          <w:bCs/>
          <w:sz w:val="32"/>
          <w:szCs w:val="32"/>
        </w:rPr>
        <w:t>西青区</w:t>
      </w:r>
      <w:r>
        <w:rPr>
          <w:rFonts w:ascii="Times New Roman" w:eastAsia="仿宋_GB2312" w:hAnsi="Times New Roman" w:cs="Times New Roman"/>
          <w:bCs/>
          <w:sz w:val="32"/>
          <w:szCs w:val="32"/>
        </w:rPr>
        <w:t>2019</w:t>
      </w:r>
      <w:r>
        <w:rPr>
          <w:rFonts w:ascii="Times New Roman" w:eastAsia="仿宋_GB2312" w:hAnsi="Times New Roman" w:cs="Times New Roman"/>
          <w:bCs/>
          <w:sz w:val="32"/>
          <w:szCs w:val="32"/>
        </w:rPr>
        <w:t>年科技攻关和科技成果转化及产业化项目执行期为</w:t>
      </w:r>
      <w:r>
        <w:rPr>
          <w:rFonts w:ascii="Times New Roman" w:eastAsia="仿宋_GB2312" w:hAnsi="Times New Roman" w:cs="Times New Roman"/>
          <w:bCs/>
          <w:sz w:val="32"/>
          <w:szCs w:val="32"/>
        </w:rPr>
        <w:t>2019</w:t>
      </w:r>
      <w:r>
        <w:rPr>
          <w:rFonts w:ascii="Times New Roman" w:eastAsia="仿宋_GB2312" w:hAnsi="Times New Roman" w:cs="Times New Roman"/>
          <w:bCs/>
          <w:sz w:val="32"/>
          <w:szCs w:val="32"/>
        </w:rPr>
        <w:t>年至</w:t>
      </w:r>
      <w:r>
        <w:rPr>
          <w:rFonts w:ascii="Times New Roman" w:eastAsia="仿宋_GB2312" w:hAnsi="Times New Roman" w:cs="Times New Roman"/>
          <w:bCs/>
          <w:sz w:val="32"/>
          <w:szCs w:val="32"/>
        </w:rPr>
        <w:t>2021</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12</w:t>
      </w:r>
      <w:r>
        <w:rPr>
          <w:rFonts w:ascii="Times New Roman" w:eastAsia="仿宋_GB2312" w:hAnsi="Times New Roman" w:cs="Times New Roman"/>
          <w:bCs/>
          <w:sz w:val="32"/>
          <w:szCs w:val="32"/>
        </w:rPr>
        <w:t>月。截止</w:t>
      </w:r>
      <w:r>
        <w:rPr>
          <w:rFonts w:ascii="Times New Roman" w:eastAsia="仿宋_GB2312" w:hAnsi="Times New Roman" w:cs="Times New Roman"/>
          <w:bCs/>
          <w:sz w:val="32"/>
          <w:szCs w:val="32"/>
        </w:rPr>
        <w:t>2020</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6</w:t>
      </w:r>
      <w:r>
        <w:rPr>
          <w:rFonts w:ascii="Times New Roman" w:eastAsia="仿宋_GB2312" w:hAnsi="Times New Roman" w:cs="Times New Roman"/>
          <w:bCs/>
          <w:sz w:val="32"/>
          <w:szCs w:val="32"/>
        </w:rPr>
        <w:t>月，</w:t>
      </w:r>
      <w:r>
        <w:rPr>
          <w:rFonts w:ascii="Times New Roman" w:eastAsia="仿宋_GB2312" w:hAnsi="Times New Roman" w:cs="Times New Roman"/>
          <w:sz w:val="32"/>
          <w:szCs w:val="32"/>
        </w:rPr>
        <w:t>西青区生产力促进中心完成了对上述</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个项目中</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个项目的中期考核。其中：</w:t>
      </w:r>
    </w:p>
    <w:p>
      <w:pPr>
        <w:pStyle w:val="af"/>
        <w:numPr>
          <w:ilvl w:val="0"/>
          <w:numId w:val="2"/>
        </w:num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天津天迈节能设备有限公司与河北工业大学合作的应用新型智能化</w:t>
      </w:r>
      <w:r>
        <w:rPr>
          <w:rFonts w:ascii="Times New Roman" w:eastAsia="仿宋_GB2312" w:hAnsi="Times New Roman" w:cs="Times New Roman"/>
          <w:sz w:val="32"/>
          <w:szCs w:val="32"/>
        </w:rPr>
        <w:t>VOCs</w:t>
      </w:r>
      <w:r>
        <w:rPr>
          <w:rFonts w:ascii="Times New Roman" w:eastAsia="仿宋_GB2312" w:hAnsi="Times New Roman" w:cs="Times New Roman"/>
          <w:sz w:val="32"/>
          <w:szCs w:val="32"/>
        </w:rPr>
        <w:t>废气治理技术研发与引用项目，截至</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月已按项目计划进度进行相关产品的研发工作，项目投入</w:t>
      </w:r>
      <w:r>
        <w:rPr>
          <w:rFonts w:ascii="Times New Roman" w:eastAsia="仿宋_GB2312" w:hAnsi="Times New Roman" w:cs="Times New Roman"/>
          <w:sz w:val="32"/>
          <w:szCs w:val="32"/>
        </w:rPr>
        <w:t>1180</w:t>
      </w:r>
      <w:r>
        <w:rPr>
          <w:rFonts w:ascii="Times New Roman" w:eastAsia="仿宋_GB2312" w:hAnsi="Times New Roman" w:cs="Times New Roman"/>
          <w:sz w:val="32"/>
          <w:szCs w:val="32"/>
        </w:rPr>
        <w:t>万元，并在项目实施过程中申报发明专利</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项、实用新型专利</w:t>
      </w:r>
      <w:r>
        <w:rPr>
          <w:rFonts w:ascii="Times New Roman" w:eastAsia="仿宋_GB2312" w:hAnsi="Times New Roman" w:cs="Times New Roman"/>
          <w:sz w:val="32"/>
          <w:szCs w:val="32"/>
        </w:rPr>
        <w:t>7</w:t>
      </w:r>
      <w:r>
        <w:rPr>
          <w:rFonts w:ascii="Times New Roman" w:eastAsia="仿宋_GB2312" w:hAnsi="Times New Roman" w:cs="Times New Roman"/>
          <w:sz w:val="32"/>
          <w:szCs w:val="32"/>
        </w:rPr>
        <w:t>项；为西青区增加就业岗位</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个。</w:t>
      </w:r>
    </w:p>
    <w:p>
      <w:pPr>
        <w:pStyle w:val="af"/>
        <w:numPr>
          <w:ilvl w:val="0"/>
          <w:numId w:val="2"/>
        </w:num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爱易成技术（天津）有限公司与天津大学合作的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绿道成</w:t>
      </w:r>
      <w:r>
        <w:rPr>
          <w:rFonts w:ascii="Times New Roman" w:eastAsia="仿宋_GB2312" w:hAnsi="Times New Roman" w:cs="Times New Roman"/>
          <w:sz w:val="32"/>
          <w:szCs w:val="32"/>
        </w:rPr>
        <w:t>”</w:t>
      </w:r>
      <w:r>
        <w:rPr>
          <w:rFonts w:ascii="Times New Roman" w:eastAsia="仿宋_GB2312" w:hAnsi="Times New Roman" w:cs="Times New Roman"/>
          <w:sz w:val="32"/>
          <w:szCs w:val="32"/>
        </w:rPr>
        <w:t>智能交通车速诱导技术及系统项目，截至</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月已按项目计划进度进行相关产品的研发工作，项目投入</w:t>
      </w:r>
      <w:r>
        <w:rPr>
          <w:rFonts w:ascii="Times New Roman" w:eastAsia="仿宋_GB2312" w:hAnsi="Times New Roman" w:cs="Times New Roman"/>
          <w:sz w:val="32"/>
          <w:szCs w:val="32"/>
        </w:rPr>
        <w:t>1078.81</w:t>
      </w:r>
      <w:r>
        <w:rPr>
          <w:rFonts w:ascii="Times New Roman" w:eastAsia="仿宋_GB2312" w:hAnsi="Times New Roman" w:cs="Times New Roman"/>
          <w:sz w:val="32"/>
          <w:szCs w:val="32"/>
        </w:rPr>
        <w:t>万元。</w:t>
      </w:r>
    </w:p>
    <w:p>
      <w:pPr>
        <w:pStyle w:val="af"/>
        <w:numPr>
          <w:ilvl w:val="0"/>
          <w:numId w:val="2"/>
        </w:num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天津同仁堂集团股份有限公司与天津中医药大学合作的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经典名方</w:t>
      </w:r>
      <w:r>
        <w:rPr>
          <w:rFonts w:ascii="Times New Roman" w:eastAsia="仿宋_GB2312" w:hAnsi="Times New Roman" w:cs="Times New Roman"/>
          <w:sz w:val="32"/>
          <w:szCs w:val="32"/>
        </w:rPr>
        <w:t>—</w:t>
      </w:r>
      <w:r>
        <w:rPr>
          <w:rFonts w:ascii="Times New Roman" w:eastAsia="仿宋_GB2312" w:hAnsi="Times New Roman" w:cs="Times New Roman"/>
          <w:sz w:val="32"/>
          <w:szCs w:val="32"/>
        </w:rPr>
        <w:t>清肺汤标准颗粒研究</w:t>
      </w:r>
      <w:r>
        <w:rPr>
          <w:rFonts w:ascii="Times New Roman" w:eastAsia="仿宋_GB2312" w:hAnsi="Times New Roman" w:cs="Times New Roman"/>
          <w:sz w:val="32"/>
          <w:szCs w:val="32"/>
        </w:rPr>
        <w:t>”</w:t>
      </w:r>
      <w:r>
        <w:rPr>
          <w:rFonts w:ascii="Times New Roman" w:eastAsia="仿宋_GB2312" w:hAnsi="Times New Roman" w:cs="Times New Roman"/>
          <w:sz w:val="32"/>
          <w:szCs w:val="32"/>
        </w:rPr>
        <w:t>项目，截至</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月已按项目计划进度进行相关产品的研发工作，项目投入</w:t>
      </w:r>
      <w:r>
        <w:rPr>
          <w:rFonts w:ascii="Times New Roman" w:eastAsia="仿宋_GB2312" w:hAnsi="Times New Roman" w:cs="Times New Roman"/>
          <w:sz w:val="32"/>
          <w:szCs w:val="32"/>
        </w:rPr>
        <w:t>184.71</w:t>
      </w:r>
      <w:r>
        <w:rPr>
          <w:rFonts w:ascii="Times New Roman" w:eastAsia="仿宋_GB2312" w:hAnsi="Times New Roman" w:cs="Times New Roman"/>
          <w:sz w:val="32"/>
          <w:szCs w:val="32"/>
        </w:rPr>
        <w:t>万元，并在项目实施过程中发表论文一篇。</w:t>
      </w:r>
    </w:p>
    <w:p>
      <w:pPr>
        <w:pStyle w:val="af"/>
        <w:numPr>
          <w:ilvl w:val="0"/>
          <w:numId w:val="2"/>
        </w:num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天津二商迎宾肉类食品有限公司与天津科技大学合作的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基于互联网</w:t>
      </w:r>
      <w:r>
        <w:rPr>
          <w:rFonts w:ascii="Times New Roman" w:eastAsia="仿宋_GB2312" w:hAnsi="Times New Roman" w:cs="Times New Roman"/>
          <w:sz w:val="32"/>
          <w:szCs w:val="32"/>
        </w:rPr>
        <w:t>+</w:t>
      </w:r>
      <w:r>
        <w:rPr>
          <w:rFonts w:ascii="Times New Roman" w:eastAsia="仿宋_GB2312" w:hAnsi="Times New Roman" w:cs="Times New Roman"/>
          <w:sz w:val="32"/>
          <w:szCs w:val="32"/>
        </w:rPr>
        <w:t>肉类食品产运销与安全保障体系京津冀一体化产业化工程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项目，截至</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月已按项目计划进度进行相关产品的研发工作，项目投入</w:t>
      </w:r>
      <w:r>
        <w:rPr>
          <w:rFonts w:ascii="Times New Roman" w:eastAsia="仿宋_GB2312" w:hAnsi="Times New Roman" w:cs="Times New Roman"/>
          <w:sz w:val="32"/>
          <w:szCs w:val="32"/>
        </w:rPr>
        <w:t>313.20</w:t>
      </w:r>
      <w:r>
        <w:rPr>
          <w:rFonts w:ascii="Times New Roman" w:eastAsia="仿宋_GB2312" w:hAnsi="Times New Roman" w:cs="Times New Roman"/>
          <w:sz w:val="32"/>
          <w:szCs w:val="32"/>
        </w:rPr>
        <w:t>万元，并在项目实施过程中申报实用新型专利</w:t>
      </w:r>
      <w:r>
        <w:rPr>
          <w:rFonts w:ascii="Times New Roman" w:eastAsia="仿宋_GB2312" w:hAnsi="Times New Roman" w:cs="Times New Roman"/>
          <w:sz w:val="32"/>
          <w:szCs w:val="32"/>
        </w:rPr>
        <w:t>5</w:t>
      </w:r>
      <w:r>
        <w:rPr>
          <w:rFonts w:ascii="Times New Roman" w:eastAsia="仿宋_GB2312" w:hAnsi="Times New Roman" w:cs="Times New Roman"/>
          <w:sz w:val="32"/>
          <w:szCs w:val="32"/>
        </w:rPr>
        <w:t>项；为西青区培养技术人才</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名，增加就业岗位</w:t>
      </w:r>
      <w:r>
        <w:rPr>
          <w:rFonts w:ascii="Times New Roman" w:eastAsia="仿宋_GB2312" w:hAnsi="Times New Roman" w:cs="Times New Roman"/>
          <w:sz w:val="32"/>
          <w:szCs w:val="32"/>
        </w:rPr>
        <w:t>89</w:t>
      </w:r>
      <w:r>
        <w:rPr>
          <w:rFonts w:ascii="Times New Roman" w:eastAsia="仿宋_GB2312" w:hAnsi="Times New Roman" w:cs="Times New Roman"/>
          <w:sz w:val="32"/>
          <w:szCs w:val="32"/>
        </w:rPr>
        <w:t>个。</w:t>
      </w:r>
    </w:p>
    <w:p>
      <w:pPr>
        <w:pStyle w:val="af"/>
        <w:numPr>
          <w:ilvl w:val="0"/>
          <w:numId w:val="2"/>
        </w:num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天津市浩越全五金制品股份有限公司与天津工业大学合作的紧固件生产管理的智能化改造提升项目，截至</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月已按项目计划进度进行相关产品的研发工作，项目投入</w:t>
      </w:r>
      <w:r>
        <w:rPr>
          <w:rFonts w:ascii="Times New Roman" w:eastAsia="仿宋_GB2312" w:hAnsi="Times New Roman" w:cs="Times New Roman"/>
          <w:sz w:val="32"/>
          <w:szCs w:val="32"/>
        </w:rPr>
        <w:t>147.57</w:t>
      </w:r>
      <w:r>
        <w:rPr>
          <w:rFonts w:ascii="Times New Roman" w:eastAsia="仿宋_GB2312" w:hAnsi="Times New Roman" w:cs="Times New Roman"/>
          <w:sz w:val="32"/>
          <w:szCs w:val="32"/>
        </w:rPr>
        <w:t>万元，并在项目实施过程中申报实用新型专利</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项；为西青区培养技术人才</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名，增加就业岗位</w:t>
      </w:r>
      <w:r>
        <w:rPr>
          <w:rFonts w:ascii="Times New Roman" w:eastAsia="仿宋_GB2312" w:hAnsi="Times New Roman" w:cs="Times New Roman"/>
          <w:sz w:val="32"/>
          <w:szCs w:val="32"/>
        </w:rPr>
        <w:t>7</w:t>
      </w:r>
      <w:r>
        <w:rPr>
          <w:rFonts w:ascii="Times New Roman" w:eastAsia="仿宋_GB2312" w:hAnsi="Times New Roman" w:cs="Times New Roman"/>
          <w:sz w:val="32"/>
          <w:szCs w:val="32"/>
        </w:rPr>
        <w:t>个。</w:t>
      </w:r>
    </w:p>
    <w:p>
      <w:pPr>
        <w:pStyle w:val="af"/>
        <w:ind w:firstLine="640"/>
        <w:rPr>
          <w:rFonts w:ascii="Times New Roman" w:eastAsia="黑体" w:hAnsi="Times New Roman" w:cs="Times New Roman"/>
          <w:bCs/>
          <w:sz w:val="32"/>
          <w:szCs w:val="32"/>
        </w:rPr>
      </w:pPr>
      <w:r>
        <w:rPr>
          <w:rFonts w:ascii="Times New Roman" w:eastAsia="黑体" w:hAnsi="Times New Roman" w:cs="Times New Roman"/>
          <w:bCs/>
          <w:sz w:val="32"/>
          <w:szCs w:val="32"/>
        </w:rPr>
        <w:t>四、综合评价情况及评价结论</w:t>
      </w:r>
    </w:p>
    <w:p>
      <w:pPr>
        <w:ind w:rightChars="134" w:right="281"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根据《西青区</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年科技攻关和科技成果转化及产业化项目绩效评价指标评分表》的最终总得分，可以用来综合判断本项目的绩效情况，即：评价得分</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分为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优秀</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75</w:t>
      </w:r>
      <w:r>
        <w:rPr>
          <w:rFonts w:ascii="Times New Roman" w:eastAsia="仿宋_GB2312" w:hAnsi="Times New Roman" w:cs="Times New Roman"/>
          <w:sz w:val="32"/>
          <w:szCs w:val="32"/>
        </w:rPr>
        <w:t>分</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评价得分＜</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分为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良好</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分</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评价得分＜</w:t>
      </w:r>
      <w:r>
        <w:rPr>
          <w:rFonts w:ascii="Times New Roman" w:eastAsia="仿宋_GB2312" w:hAnsi="Times New Roman" w:cs="Times New Roman"/>
          <w:sz w:val="32"/>
          <w:szCs w:val="32"/>
        </w:rPr>
        <w:t>75</w:t>
      </w:r>
      <w:r>
        <w:rPr>
          <w:rFonts w:ascii="Times New Roman" w:eastAsia="仿宋_GB2312" w:hAnsi="Times New Roman" w:cs="Times New Roman"/>
          <w:sz w:val="32"/>
          <w:szCs w:val="32"/>
        </w:rPr>
        <w:t>分为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较好</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，评价得分＜</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分为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差</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。本项目综合总得分</w:t>
      </w:r>
      <w:r>
        <w:rPr>
          <w:rFonts w:ascii="Times New Roman" w:eastAsia="仿宋_GB2312" w:hAnsi="Times New Roman" w:cs="Times New Roman"/>
          <w:sz w:val="32"/>
          <w:szCs w:val="32"/>
        </w:rPr>
        <w:t>93.5</w:t>
      </w:r>
      <w:r>
        <w:rPr>
          <w:rFonts w:ascii="Times New Roman" w:eastAsia="仿宋_GB2312" w:hAnsi="Times New Roman" w:cs="Times New Roman"/>
          <w:sz w:val="32"/>
          <w:szCs w:val="32"/>
        </w:rPr>
        <w:t>分，评价结论为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优秀</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pPr>
        <w:pStyle w:val="af"/>
        <w:numPr>
          <w:ilvl w:val="0"/>
          <w:numId w:val="3"/>
        </w:numPr>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西青区科技局遵照上级指示，并结合西青区科技企业实际发展情况，制定了《</w:t>
      </w:r>
      <w:r>
        <w:rPr>
          <w:rFonts w:ascii="Times New Roman" w:eastAsia="仿宋_GB2312" w:hAnsi="Times New Roman" w:cs="Times New Roman"/>
          <w:sz w:val="32"/>
          <w:szCs w:val="32"/>
        </w:rPr>
        <w:t>对我市科技型中小企业与高校、科研院所共同开展的科技攻关和科技成果转化及产业化项目予以支持的实施细则</w:t>
      </w:r>
      <w:r>
        <w:rPr>
          <w:rFonts w:ascii="Times New Roman" w:eastAsia="仿宋_GB2312" w:hAnsi="Times New Roman" w:cs="Times New Roman"/>
          <w:bCs/>
          <w:sz w:val="32"/>
          <w:szCs w:val="32"/>
        </w:rPr>
        <w:t>》，并以该实施细则为基础，对西青区</w:t>
      </w:r>
      <w:r>
        <w:rPr>
          <w:rFonts w:ascii="Times New Roman" w:eastAsia="仿宋_GB2312" w:hAnsi="Times New Roman" w:cs="Times New Roman"/>
          <w:sz w:val="32"/>
          <w:szCs w:val="32"/>
        </w:rPr>
        <w:t>科技攻关和科技成果转化及产业化项目</w:t>
      </w:r>
      <w:r>
        <w:rPr>
          <w:rFonts w:ascii="Times New Roman" w:eastAsia="仿宋_GB2312" w:hAnsi="Times New Roman" w:cs="Times New Roman"/>
          <w:bCs/>
          <w:sz w:val="32"/>
          <w:szCs w:val="32"/>
        </w:rPr>
        <w:t>给予资助。</w:t>
      </w:r>
    </w:p>
    <w:p>
      <w:pPr>
        <w:pStyle w:val="af"/>
        <w:ind w:firstLine="640"/>
        <w:rPr>
          <w:rFonts w:ascii="Times New Roman" w:eastAsia="仿宋_GB2312" w:hAnsi="Times New Roman" w:cs="Times New Roman"/>
          <w:bCs/>
          <w:sz w:val="32"/>
          <w:szCs w:val="32"/>
        </w:rPr>
      </w:pPr>
      <w:r>
        <w:rPr>
          <w:rFonts w:ascii="Times New Roman" w:eastAsia="仿宋_GB2312" w:hAnsi="Times New Roman" w:cs="Times New Roman"/>
          <w:sz w:val="32"/>
          <w:szCs w:val="32"/>
        </w:rPr>
        <w:t>本项目立项程序合</w:t>
      </w:r>
      <w:proofErr w:type="gramStart"/>
      <w:r>
        <w:rPr>
          <w:rFonts w:ascii="Times New Roman" w:eastAsia="仿宋_GB2312" w:hAnsi="Times New Roman" w:cs="Times New Roman"/>
          <w:sz w:val="32"/>
          <w:szCs w:val="32"/>
        </w:rPr>
        <w:t>规</w:t>
      </w:r>
      <w:proofErr w:type="gramEnd"/>
      <w:r>
        <w:rPr>
          <w:rFonts w:ascii="Times New Roman" w:eastAsia="仿宋_GB2312" w:hAnsi="Times New Roman" w:cs="Times New Roman"/>
          <w:sz w:val="32"/>
          <w:szCs w:val="32"/>
        </w:rPr>
        <w:t>，符合</w:t>
      </w:r>
      <w:r>
        <w:rPr>
          <w:rFonts w:ascii="Times New Roman" w:eastAsia="仿宋_GB2312" w:hAnsi="Times New Roman" w:cs="Times New Roman"/>
          <w:bCs/>
          <w:sz w:val="32"/>
          <w:szCs w:val="32"/>
        </w:rPr>
        <w:t>西青区</w:t>
      </w:r>
      <w:r>
        <w:rPr>
          <w:rFonts w:ascii="Times New Roman" w:eastAsia="仿宋_GB2312" w:hAnsi="Times New Roman" w:cs="Times New Roman"/>
          <w:sz w:val="32"/>
          <w:szCs w:val="32"/>
        </w:rPr>
        <w:t>发展规划，体现了</w:t>
      </w:r>
      <w:r>
        <w:rPr>
          <w:rFonts w:ascii="Times New Roman" w:eastAsia="仿宋_GB2312" w:hAnsi="Times New Roman" w:cs="Times New Roman"/>
          <w:bCs/>
          <w:sz w:val="32"/>
          <w:szCs w:val="32"/>
        </w:rPr>
        <w:t>西青区鼓励高端制造创新发展的要求</w:t>
      </w:r>
      <w:r>
        <w:rPr>
          <w:rFonts w:ascii="Times New Roman" w:eastAsia="仿宋_GB2312" w:hAnsi="Times New Roman" w:cs="Times New Roman"/>
          <w:sz w:val="32"/>
          <w:szCs w:val="32"/>
        </w:rPr>
        <w:t>，有利于将科研成果用于实处，开展基于互联网的开放式研发设计、网络化制造等新方法的运用，引领发展新模式。</w:t>
      </w:r>
    </w:p>
    <w:p>
      <w:pPr>
        <w:pStyle w:val="af"/>
        <w:numPr>
          <w:ilvl w:val="0"/>
          <w:numId w:val="3"/>
        </w:numPr>
        <w:ind w:firstLine="640"/>
        <w:rPr>
          <w:rFonts w:ascii="Times New Roman" w:eastAsia="仿宋_GB2312" w:hAnsi="Times New Roman" w:cs="Times New Roman"/>
          <w:sz w:val="32"/>
          <w:szCs w:val="32"/>
        </w:rPr>
      </w:pPr>
      <w:r>
        <w:rPr>
          <w:rFonts w:ascii="Times New Roman" w:eastAsia="仿宋_GB2312" w:hAnsi="Times New Roman" w:cs="Times New Roman"/>
          <w:bCs/>
          <w:sz w:val="32"/>
          <w:szCs w:val="32"/>
        </w:rPr>
        <w:t>西青区科技局将《</w:t>
      </w:r>
      <w:r>
        <w:rPr>
          <w:rFonts w:ascii="Times New Roman" w:eastAsia="仿宋_GB2312" w:hAnsi="Times New Roman" w:cs="Times New Roman"/>
          <w:sz w:val="32"/>
          <w:szCs w:val="32"/>
        </w:rPr>
        <w:t>对我市科技型中小企业与高校、科研院所共同开展的科技攻关和科技成果转化及产业化项目予以支持的实施细则</w:t>
      </w:r>
      <w:r>
        <w:rPr>
          <w:rFonts w:ascii="Times New Roman" w:eastAsia="仿宋_GB2312" w:hAnsi="Times New Roman" w:cs="Times New Roman"/>
          <w:bCs/>
          <w:sz w:val="32"/>
          <w:szCs w:val="32"/>
        </w:rPr>
        <w:t>》下发至西青区各相关部门后，按照实施细则要求，安排西青区生产力促进中心开展</w:t>
      </w:r>
      <w:r>
        <w:rPr>
          <w:rFonts w:ascii="Times New Roman" w:eastAsia="仿宋_GB2312" w:hAnsi="Times New Roman" w:cs="Times New Roman"/>
          <w:sz w:val="32"/>
          <w:szCs w:val="32"/>
        </w:rPr>
        <w:t>西青区科技攻关和科技成果转化及产业化项目的申请受理工作。</w:t>
      </w:r>
    </w:p>
    <w:p>
      <w:pPr>
        <w:pStyle w:val="af"/>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西青区科技局依据上级领导要求，并结合西青区实际情况，建立了健全的项目评审制度，并安排</w:t>
      </w:r>
      <w:r>
        <w:rPr>
          <w:rFonts w:ascii="Times New Roman" w:eastAsia="仿宋_GB2312" w:hAnsi="Times New Roman" w:cs="Times New Roman"/>
          <w:bCs/>
          <w:sz w:val="32"/>
          <w:szCs w:val="32"/>
        </w:rPr>
        <w:t>西青区</w:t>
      </w:r>
      <w:r>
        <w:rPr>
          <w:rFonts w:ascii="Times New Roman" w:eastAsia="仿宋_GB2312" w:hAnsi="Times New Roman" w:cs="Times New Roman"/>
          <w:sz w:val="32"/>
          <w:szCs w:val="32"/>
        </w:rPr>
        <w:t>生产力促进中心负责，有利于本项目进一步开展工作，为各项</w:t>
      </w:r>
      <w:proofErr w:type="gramStart"/>
      <w:r>
        <w:rPr>
          <w:rFonts w:ascii="Times New Roman" w:eastAsia="仿宋_GB2312" w:hAnsi="Times New Roman" w:cs="Times New Roman"/>
          <w:sz w:val="32"/>
          <w:szCs w:val="32"/>
        </w:rPr>
        <w:t>目单位</w:t>
      </w:r>
      <w:proofErr w:type="gramEnd"/>
      <w:r>
        <w:rPr>
          <w:rFonts w:ascii="Times New Roman" w:eastAsia="仿宋_GB2312" w:hAnsi="Times New Roman" w:cs="Times New Roman"/>
          <w:sz w:val="32"/>
          <w:szCs w:val="32"/>
        </w:rPr>
        <w:t>提供了政策咨询解答服务并开辟专门申报窗口。</w:t>
      </w:r>
    </w:p>
    <w:p>
      <w:pPr>
        <w:pStyle w:val="af"/>
        <w:numPr>
          <w:ilvl w:val="0"/>
          <w:numId w:val="3"/>
        </w:numPr>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西青区生产力促进中心严格按照实施细则要求，对各项</w:t>
      </w:r>
      <w:proofErr w:type="gramStart"/>
      <w:r>
        <w:rPr>
          <w:rFonts w:ascii="Times New Roman" w:eastAsia="仿宋_GB2312" w:hAnsi="Times New Roman" w:cs="Times New Roman"/>
          <w:bCs/>
          <w:sz w:val="32"/>
          <w:szCs w:val="32"/>
        </w:rPr>
        <w:t>目单位</w:t>
      </w:r>
      <w:proofErr w:type="gramEnd"/>
      <w:r>
        <w:rPr>
          <w:rFonts w:ascii="Times New Roman" w:eastAsia="仿宋_GB2312" w:hAnsi="Times New Roman" w:cs="Times New Roman"/>
          <w:bCs/>
          <w:sz w:val="32"/>
          <w:szCs w:val="32"/>
        </w:rPr>
        <w:t>申报资料进行审核，对项目申报单位进行现场考察，综合评价了各项目申报单位的研发能力、组织能力及生产能力，随后聘请专家组对上述</w:t>
      </w:r>
      <w:r>
        <w:rPr>
          <w:rFonts w:ascii="Times New Roman" w:eastAsia="仿宋_GB2312" w:hAnsi="Times New Roman" w:cs="Times New Roman"/>
          <w:bCs/>
          <w:sz w:val="32"/>
          <w:szCs w:val="32"/>
        </w:rPr>
        <w:t>6</w:t>
      </w:r>
      <w:r>
        <w:rPr>
          <w:rFonts w:ascii="Times New Roman" w:eastAsia="仿宋_GB2312" w:hAnsi="Times New Roman" w:cs="Times New Roman"/>
          <w:bCs/>
          <w:sz w:val="32"/>
          <w:szCs w:val="32"/>
        </w:rPr>
        <w:t>家项目单位的申请进行了评审，最终确认了各单位补助金额。</w:t>
      </w:r>
    </w:p>
    <w:p>
      <w:pPr>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西青区科技局严格执行了项目资金评审制度，按照实施细则对各项</w:t>
      </w:r>
      <w:proofErr w:type="gramStart"/>
      <w:r>
        <w:rPr>
          <w:rFonts w:ascii="Times New Roman" w:eastAsia="仿宋_GB2312" w:hAnsi="Times New Roman" w:cs="Times New Roman"/>
          <w:bCs/>
          <w:sz w:val="32"/>
          <w:szCs w:val="32"/>
        </w:rPr>
        <w:t>目单位</w:t>
      </w:r>
      <w:proofErr w:type="gramEnd"/>
      <w:r>
        <w:rPr>
          <w:rFonts w:ascii="Times New Roman" w:eastAsia="仿宋_GB2312" w:hAnsi="Times New Roman" w:cs="Times New Roman"/>
          <w:bCs/>
          <w:sz w:val="32"/>
          <w:szCs w:val="32"/>
        </w:rPr>
        <w:t>申报资料进行审核，并最终确认各单位的补助金额，体现了项目申报的公平性、公开性、公正性。</w:t>
      </w:r>
    </w:p>
    <w:p>
      <w:pPr>
        <w:pStyle w:val="af"/>
        <w:numPr>
          <w:ilvl w:val="0"/>
          <w:numId w:val="3"/>
        </w:numPr>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本项目对取得科技专项资金的项目单位，在</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西青之窗</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的政务公开栏内进行公示，接受群众监督，并按时将专项资金由西青区财政局直接发放</w:t>
      </w:r>
      <w:proofErr w:type="gramStart"/>
      <w:r>
        <w:rPr>
          <w:rFonts w:ascii="Times New Roman" w:eastAsia="仿宋_GB2312" w:hAnsi="Times New Roman" w:cs="Times New Roman"/>
          <w:bCs/>
          <w:sz w:val="32"/>
          <w:szCs w:val="32"/>
        </w:rPr>
        <w:t>至各项</w:t>
      </w:r>
      <w:proofErr w:type="gramEnd"/>
      <w:r>
        <w:rPr>
          <w:rFonts w:ascii="Times New Roman" w:eastAsia="仿宋_GB2312" w:hAnsi="Times New Roman" w:cs="Times New Roman"/>
          <w:bCs/>
          <w:sz w:val="32"/>
          <w:szCs w:val="32"/>
        </w:rPr>
        <w:t>目单位。</w:t>
      </w:r>
    </w:p>
    <w:p>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西青区科技局专项资金收支全部统一建账管理，付款流程符合相关财务管理制度；全部项目款项均由财政直接支付，符合相关规定。</w:t>
      </w:r>
    </w:p>
    <w:p>
      <w:pPr>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通过该项目实施，一是支持了科技创新单位发展；二是促进扶持单位研发经费快速增长，科技成果不断涌现，被扶持单位截至</w:t>
      </w:r>
      <w:r>
        <w:rPr>
          <w:rFonts w:ascii="Times New Roman" w:eastAsia="仿宋_GB2312" w:hAnsi="Times New Roman" w:cs="Times New Roman"/>
          <w:bCs/>
          <w:sz w:val="32"/>
          <w:szCs w:val="32"/>
        </w:rPr>
        <w:t>2020</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6</w:t>
      </w:r>
      <w:r>
        <w:rPr>
          <w:rFonts w:ascii="Times New Roman" w:eastAsia="仿宋_GB2312" w:hAnsi="Times New Roman" w:cs="Times New Roman"/>
          <w:bCs/>
          <w:sz w:val="32"/>
          <w:szCs w:val="32"/>
        </w:rPr>
        <w:t>月申请各项专利共</w:t>
      </w:r>
      <w:r>
        <w:rPr>
          <w:rFonts w:ascii="Times New Roman" w:eastAsia="仿宋_GB2312" w:hAnsi="Times New Roman" w:cs="Times New Roman"/>
          <w:bCs/>
          <w:sz w:val="32"/>
          <w:szCs w:val="32"/>
        </w:rPr>
        <w:t>18</w:t>
      </w:r>
      <w:r>
        <w:rPr>
          <w:rFonts w:ascii="Times New Roman" w:eastAsia="仿宋_GB2312" w:hAnsi="Times New Roman" w:cs="Times New Roman"/>
          <w:bCs/>
          <w:sz w:val="32"/>
          <w:szCs w:val="32"/>
        </w:rPr>
        <w:t>项，发表专业论文</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篇；三是促进就业，被扶持单位在项目执行期间新增工作岗位</w:t>
      </w:r>
      <w:r>
        <w:rPr>
          <w:rFonts w:ascii="Times New Roman" w:eastAsia="仿宋_GB2312" w:hAnsi="Times New Roman" w:cs="Times New Roman"/>
          <w:bCs/>
          <w:sz w:val="32"/>
          <w:szCs w:val="32"/>
        </w:rPr>
        <w:t>120</w:t>
      </w:r>
      <w:r>
        <w:rPr>
          <w:rFonts w:ascii="Times New Roman" w:eastAsia="仿宋_GB2312" w:hAnsi="Times New Roman" w:cs="Times New Roman"/>
          <w:bCs/>
          <w:sz w:val="32"/>
          <w:szCs w:val="32"/>
        </w:rPr>
        <w:t>余个，为西青区培养技术人才</w:t>
      </w:r>
      <w:r>
        <w:rPr>
          <w:rFonts w:ascii="Times New Roman" w:eastAsia="仿宋_GB2312" w:hAnsi="Times New Roman" w:cs="Times New Roman"/>
          <w:bCs/>
          <w:sz w:val="32"/>
          <w:szCs w:val="32"/>
        </w:rPr>
        <w:t>19</w:t>
      </w:r>
      <w:r>
        <w:rPr>
          <w:rFonts w:ascii="Times New Roman" w:eastAsia="仿宋_GB2312" w:hAnsi="Times New Roman" w:cs="Times New Roman"/>
          <w:bCs/>
          <w:sz w:val="32"/>
          <w:szCs w:val="32"/>
        </w:rPr>
        <w:t>人；四是一定程度上缓解了企业资金矛盾，引导企业加强技术创新改造；五是进一步培育新</w:t>
      </w:r>
      <w:proofErr w:type="gramStart"/>
      <w:r>
        <w:rPr>
          <w:rFonts w:ascii="Times New Roman" w:eastAsia="仿宋_GB2312" w:hAnsi="Times New Roman" w:cs="Times New Roman"/>
          <w:bCs/>
          <w:sz w:val="32"/>
          <w:szCs w:val="32"/>
        </w:rPr>
        <w:t>业态新模式</w:t>
      </w:r>
      <w:proofErr w:type="gramEnd"/>
      <w:r>
        <w:rPr>
          <w:rFonts w:ascii="Times New Roman" w:eastAsia="仿宋_GB2312" w:hAnsi="Times New Roman" w:cs="Times New Roman"/>
          <w:bCs/>
          <w:sz w:val="32"/>
          <w:szCs w:val="32"/>
        </w:rPr>
        <w:t>，鼓励高校和科研院所科技人员与企业合作，合作重点包括研发设计、中医医药等方面的企业，开展基于互联网的开放式研发设计、网络化制造等新方法的运用，引领发展西青发展新模式。</w:t>
      </w:r>
    </w:p>
    <w:p>
      <w:pPr>
        <w:pStyle w:val="af"/>
        <w:numPr>
          <w:ilvl w:val="0"/>
          <w:numId w:val="4"/>
        </w:numPr>
        <w:ind w:firstLine="640"/>
        <w:rPr>
          <w:rFonts w:ascii="Times New Roman" w:eastAsia="黑体" w:hAnsi="Times New Roman" w:cs="Times New Roman"/>
          <w:bCs/>
          <w:sz w:val="32"/>
          <w:szCs w:val="32"/>
        </w:rPr>
      </w:pPr>
      <w:r>
        <w:rPr>
          <w:rFonts w:ascii="Times New Roman" w:eastAsia="黑体" w:hAnsi="Times New Roman" w:cs="Times New Roman"/>
          <w:bCs/>
          <w:sz w:val="32"/>
          <w:szCs w:val="32"/>
        </w:rPr>
        <w:t>存在的问题和建议</w:t>
      </w:r>
    </w:p>
    <w:p>
      <w:pPr>
        <w:pStyle w:val="af"/>
        <w:numPr>
          <w:ilvl w:val="0"/>
          <w:numId w:val="5"/>
        </w:numPr>
        <w:ind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项目后期考察跟踪程序不够完善</w:t>
      </w:r>
    </w:p>
    <w:p>
      <w:pPr>
        <w:pStyle w:val="af"/>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目前本项目按规定开展了中期考察，但对中期考察出现的问题未做进一步的解决。如天津市新正防爆电器有限公司与天津大学合作的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防爆排爆轻量化机器人关节模块项目</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未及时报送中期考核资料。</w:t>
      </w:r>
    </w:p>
    <w:p>
      <w:pPr>
        <w:pStyle w:val="af"/>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建议：加强对项目单位的追踪管理，对于未及时报送资料的单位进行进一步督导，督促相关单位及时报送考核材料。对于中期考核不合格的单位，进行现场考察，协助企业解决生产研发中的问题，帮助企业进一步提高生产研发能力。</w:t>
      </w:r>
    </w:p>
    <w:p>
      <w:pPr>
        <w:pStyle w:val="af"/>
        <w:numPr>
          <w:ilvl w:val="0"/>
          <w:numId w:val="6"/>
        </w:numPr>
        <w:ind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项目档案管理存在问题</w:t>
      </w:r>
    </w:p>
    <w:p>
      <w:pPr>
        <w:pStyle w:val="af"/>
        <w:spacing w:line="480" w:lineRule="auto"/>
        <w:ind w:left="640" w:firstLineChars="0" w:firstLine="0"/>
        <w:rPr>
          <w:rFonts w:ascii="Times New Roman" w:eastAsia="仿宋_GB2312" w:hAnsi="Times New Roman" w:cs="Times New Roman"/>
          <w:sz w:val="32"/>
          <w:szCs w:val="32"/>
        </w:rPr>
      </w:pPr>
      <w:r>
        <w:rPr>
          <w:rFonts w:ascii="Times New Roman" w:eastAsia="仿宋_GB2312" w:hAnsi="Times New Roman" w:cs="Times New Roman"/>
          <w:sz w:val="32"/>
          <w:szCs w:val="32"/>
        </w:rPr>
        <w:t>本项目档案管理上存在档案错漏的问题。</w:t>
      </w:r>
    </w:p>
    <w:p>
      <w:pPr>
        <w:pStyle w:val="af"/>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建议：强化档案管理的责任意识，不断加强项目档案的管理工作，对于不同项目的资料进行分类、专人管理。</w:t>
      </w:r>
    </w:p>
    <w:p>
      <w:pPr>
        <w:pStyle w:val="af"/>
        <w:numPr>
          <w:ilvl w:val="0"/>
          <w:numId w:val="6"/>
        </w:numPr>
        <w:ind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产学研合作的深度和广度不够</w:t>
      </w:r>
    </w:p>
    <w:p>
      <w:pPr>
        <w:pStyle w:val="af"/>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高校、科研院所与企业的产学研合作多数为针对某一研发项目或课题，达成共识后开展短期（时间通常为</w:t>
      </w:r>
      <w:r>
        <w:rPr>
          <w:rFonts w:ascii="Times New Roman" w:eastAsia="仿宋_GB2312" w:hAnsi="Times New Roman" w:cs="Times New Roman"/>
          <w:sz w:val="32"/>
          <w:szCs w:val="32"/>
        </w:rPr>
        <w:t>2-3</w:t>
      </w:r>
      <w:r>
        <w:rPr>
          <w:rFonts w:ascii="Times New Roman" w:eastAsia="仿宋_GB2312" w:hAnsi="Times New Roman" w:cs="Times New Roman"/>
          <w:sz w:val="32"/>
          <w:szCs w:val="32"/>
        </w:rPr>
        <w:t>年）合作，没有真正实现高校、科研院所作为企业技术开发依托，企业作为高校、科研院所教学实验基地，实际上还是就项目合作而合作。</w:t>
      </w:r>
    </w:p>
    <w:p>
      <w:pPr>
        <w:pStyle w:val="af"/>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建议：调动企业科技创新的积极性，鼓励企业加大科技研发投入和人才引进，引导企业与高校、科研院所建立长期紧密合作关系，共建研发机构，联合科技攻关，推动企业产品创新、技术创新。</w:t>
      </w:r>
    </w:p>
    <w:p>
      <w:pPr>
        <w:ind w:firstLineChars="200" w:firstLine="640"/>
        <w:jc w:val="right"/>
        <w:rPr>
          <w:rFonts w:ascii="Times New Roman" w:eastAsia="仿宋_GB2312" w:hAnsi="Times New Roman" w:cs="Times New Roman"/>
          <w:sz w:val="32"/>
          <w:szCs w:val="32"/>
        </w:rPr>
      </w:pPr>
    </w:p>
    <w:p>
      <w:pPr>
        <w:ind w:firstLineChars="200" w:firstLine="640"/>
        <w:jc w:val="right"/>
        <w:rPr>
          <w:rFonts w:ascii="Times New Roman" w:eastAsia="仿宋_GB2312" w:hAnsi="Times New Roman" w:cs="Times New Roman"/>
          <w:sz w:val="32"/>
          <w:szCs w:val="32"/>
        </w:rPr>
      </w:pPr>
    </w:p>
    <w:p>
      <w:pPr>
        <w:ind w:firstLineChars="200" w:firstLine="640"/>
        <w:jc w:val="right"/>
        <w:rPr>
          <w:rFonts w:ascii="Times New Roman" w:eastAsia="仿宋_GB2312" w:hAnsi="Times New Roman" w:cs="Times New Roman"/>
          <w:sz w:val="32"/>
          <w:szCs w:val="32"/>
        </w:rPr>
      </w:pPr>
    </w:p>
    <w:p>
      <w:pPr>
        <w:ind w:firstLineChars="200" w:firstLine="640"/>
        <w:jc w:val="right"/>
        <w:rPr>
          <w:rFonts w:ascii="Times New Roman" w:eastAsia="仿宋_GB2312" w:hAnsi="Times New Roman" w:cs="Times New Roman"/>
          <w:sz w:val="32"/>
          <w:szCs w:val="32"/>
        </w:rPr>
      </w:pPr>
      <w:bookmarkStart w:id="4" w:name="_GoBack"/>
      <w:bookmarkEnd w:id="4"/>
    </w:p>
    <w:p>
      <w:pPr>
        <w:ind w:firstLineChars="200" w:firstLine="640"/>
        <w:jc w:val="right"/>
        <w:rPr>
          <w:rFonts w:ascii="Times New Roman" w:eastAsia="仿宋_GB2312" w:hAnsi="Times New Roman" w:cs="Times New Roman"/>
          <w:sz w:val="32"/>
          <w:szCs w:val="32"/>
        </w:rPr>
      </w:pPr>
    </w:p>
    <w:p>
      <w:pPr>
        <w:ind w:firstLineChars="200" w:firstLine="640"/>
        <w:jc w:val="right"/>
        <w:rPr>
          <w:rFonts w:ascii="Times New Roman" w:eastAsia="仿宋_GB2312" w:hAnsi="Times New Roman" w:cs="Times New Roman"/>
          <w:sz w:val="32"/>
          <w:szCs w:val="32"/>
        </w:rPr>
      </w:pPr>
    </w:p>
    <w:p>
      <w:pPr>
        <w:ind w:firstLineChars="200" w:firstLine="640"/>
        <w:jc w:val="right"/>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天津健信会计师</w:t>
      </w:r>
      <w:proofErr w:type="gramEnd"/>
      <w:r>
        <w:rPr>
          <w:rFonts w:ascii="Times New Roman" w:eastAsia="仿宋_GB2312" w:hAnsi="Times New Roman" w:cs="Times New Roman"/>
          <w:sz w:val="32"/>
          <w:szCs w:val="32"/>
        </w:rPr>
        <w:t>事务所（普通合伙）</w:t>
      </w:r>
    </w:p>
    <w:p>
      <w:pPr>
        <w:ind w:firstLineChars="200" w:firstLine="640"/>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日</w:t>
      </w:r>
    </w:p>
    <w:sectPr>
      <w:footerReference w:type="default" r:id="rId11"/>
      <w:pgSz w:w="11906" w:h="16838"/>
      <w:pgMar w:top="1440" w:right="1133" w:bottom="1440" w:left="1985"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separator/>
      </w:r>
    </w:p>
  </w:endnote>
  <w:endnote w:type="continuationSeparator" w:id="1">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6"/>
      <w:jc w:val="center"/>
    </w:pPr>
    <w:r>
      <w:rPr>
        <w:noProof/>
        <w:lang w:val="zh-CN"/>
      </w:rPr>
      <w:fldChar w:fldCharType="begin"/>
    </w:r>
    <w:r>
      <w:rPr>
        <w:noProof/>
        <w:lang w:val="zh-CN"/>
      </w:rPr>
      <w:instrText xml:space="preserve"> PAGE   \* MERGEFORMAT </w:instrText>
    </w:r>
    <w:r>
      <w:rPr>
        <w:noProof/>
        <w:lang w:val="zh-CN"/>
      </w:rPr>
      <w:fldChar w:fldCharType="separate"/>
    </w:r>
    <w:r>
      <w:rPr>
        <w:noProof/>
        <w:lang w:val="zh-CN"/>
      </w:rPr>
      <w:t>8</w:t>
    </w:r>
    <w:r>
      <w:rPr>
        <w:noProof/>
        <w:lang w:val="zh-CN"/>
      </w:rPr>
      <w:fldChar w:fldCharType="end"/>
    </w:r>
  </w:p>
  <w:p>
    <w:pPr>
      <w:pStyle w:val="a6"/>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separator/>
      </w:r>
    </w:p>
  </w:footnote>
  <w:footnote w:type="continuationSeparator" w:id="1">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7"/>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40B11F"/>
    <w:multiLevelType w:val="singleLevel"/>
    <w:tmpl w:val="9240B11F"/>
    <w:lvl w:ilvl="0">
      <w:start w:val="1"/>
      <w:numFmt w:val="decimal"/>
      <w:suff w:val="nothing"/>
      <w:lvlText w:val="（%1）"/>
      <w:lvlJc w:val="left"/>
    </w:lvl>
  </w:abstractNum>
  <w:abstractNum w:abstractNumId="1">
    <w:nsid w:val="A57824F1"/>
    <w:multiLevelType w:val="singleLevel"/>
    <w:tmpl w:val="A57824F1"/>
    <w:lvl w:ilvl="0">
      <w:start w:val="5"/>
      <w:numFmt w:val="chineseCounting"/>
      <w:suff w:val="nothing"/>
      <w:lvlText w:val="%1、"/>
      <w:lvlJc w:val="left"/>
      <w:rPr>
        <w:rFonts w:hint="eastAsia"/>
      </w:rPr>
    </w:lvl>
  </w:abstractNum>
  <w:abstractNum w:abstractNumId="2">
    <w:nsid w:val="BD7B2F5F"/>
    <w:multiLevelType w:val="singleLevel"/>
    <w:tmpl w:val="BD7B2F5F"/>
    <w:lvl w:ilvl="0">
      <w:start w:val="1"/>
      <w:numFmt w:val="chineseCounting"/>
      <w:suff w:val="nothing"/>
      <w:lvlText w:val="（%1）"/>
      <w:lvlJc w:val="left"/>
      <w:rPr>
        <w:rFonts w:hint="eastAsia"/>
      </w:rPr>
    </w:lvl>
  </w:abstractNum>
  <w:abstractNum w:abstractNumId="3">
    <w:nsid w:val="2761EB62"/>
    <w:multiLevelType w:val="singleLevel"/>
    <w:tmpl w:val="2761EB62"/>
    <w:lvl w:ilvl="0">
      <w:start w:val="2"/>
      <w:numFmt w:val="chineseCounting"/>
      <w:suff w:val="nothing"/>
      <w:lvlText w:val="（%1）"/>
      <w:lvlJc w:val="left"/>
      <w:rPr>
        <w:rFonts w:hint="eastAsia"/>
      </w:rPr>
    </w:lvl>
  </w:abstractNum>
  <w:abstractNum w:abstractNumId="4">
    <w:nsid w:val="3F482247"/>
    <w:multiLevelType w:val="singleLevel"/>
    <w:tmpl w:val="3F482247"/>
    <w:lvl w:ilvl="0">
      <w:start w:val="1"/>
      <w:numFmt w:val="chineseCounting"/>
      <w:suff w:val="nothing"/>
      <w:lvlText w:val="（%1）"/>
      <w:lvlJc w:val="left"/>
      <w:rPr>
        <w:rFonts w:hint="eastAsia"/>
      </w:rPr>
    </w:lvl>
  </w:abstractNum>
  <w:abstractNum w:abstractNumId="5">
    <w:nsid w:val="43737A76"/>
    <w:multiLevelType w:val="singleLevel"/>
    <w:tmpl w:val="43737A76"/>
    <w:lvl w:ilvl="0">
      <w:start w:val="2"/>
      <w:numFmt w:val="chineseCounting"/>
      <w:suff w:val="nothing"/>
      <w:lvlText w:val="（%1）"/>
      <w:lvlJc w:val="left"/>
      <w:rPr>
        <w:rFonts w:hint="eastAsia"/>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trackRevisions/>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qFormat="1"/>
    <w:lsdException w:name="footer" w:semiHidden="0" w:unhideWhenUsed="0" w:qFormat="1"/>
    <w:lsdException w:name="caption" w:locked="1" w:uiPriority="0" w:qFormat="1"/>
    <w:lsdException w:name="annotation reference" w:qFormat="1"/>
    <w:lsdException w:name="page number"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nhideWhenUsed="0" w:qFormat="1"/>
    <w:lsdException w:name="Hyperlink" w:unhideWhenUsed="0" w:qFormat="1"/>
    <w:lsdException w:name="Strong" w:semiHidden="0" w:unhideWhenUsed="0" w:qFormat="1"/>
    <w:lsdException w:name="Emphasis" w:locked="1" w:semiHidden="0" w:uiPriority="0" w:unhideWhenUsed="0" w:qFormat="1"/>
    <w:lsdException w:name="Normal (Web)" w:semiHidden="0" w:unhideWhenUsed="0" w:qFormat="1"/>
    <w:lsdException w:name="annotation subject" w:qFormat="1"/>
    <w:lsdException w:name="Balloon Text" w:qFormat="1"/>
    <w:lsdException w:name="Table Grid" w:semiHidden="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Date"/>
    <w:basedOn w:val="a"/>
    <w:next w:val="a"/>
    <w:link w:val="Char0"/>
    <w:uiPriority w:val="99"/>
    <w:semiHidden/>
    <w:qFormat/>
    <w:pPr>
      <w:ind w:leftChars="2500" w:left="100"/>
    </w:pPr>
  </w:style>
  <w:style w:type="paragraph" w:styleId="a5">
    <w:name w:val="Balloon Text"/>
    <w:basedOn w:val="a"/>
    <w:link w:val="Char1"/>
    <w:uiPriority w:val="99"/>
    <w:semiHidden/>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semiHidden/>
    <w:unhideWhenUsed/>
    <w:qFormat/>
    <w:rPr>
      <w:b/>
      <w:bCs/>
    </w:rPr>
  </w:style>
  <w:style w:type="table" w:styleId="aa">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99"/>
    <w:qFormat/>
    <w:rPr>
      <w:b/>
      <w:bCs/>
    </w:rPr>
  </w:style>
  <w:style w:type="character" w:styleId="ac">
    <w:name w:val="page number"/>
    <w:basedOn w:val="a0"/>
    <w:qFormat/>
  </w:style>
  <w:style w:type="character" w:styleId="ad">
    <w:name w:val="Hyperlink"/>
    <w:uiPriority w:val="99"/>
    <w:semiHidden/>
    <w:qFormat/>
    <w:rPr>
      <w:color w:val="0000FF"/>
      <w:u w:val="single"/>
    </w:rPr>
  </w:style>
  <w:style w:type="character" w:styleId="ae">
    <w:name w:val="annotation reference"/>
    <w:basedOn w:val="a0"/>
    <w:uiPriority w:val="99"/>
    <w:semiHidden/>
    <w:unhideWhenUsed/>
    <w:qFormat/>
    <w:rPr>
      <w:sz w:val="21"/>
      <w:szCs w:val="21"/>
    </w:rPr>
  </w:style>
  <w:style w:type="character" w:customStyle="1" w:styleId="Char3">
    <w:name w:val="页眉 Char"/>
    <w:link w:val="a7"/>
    <w:uiPriority w:val="99"/>
    <w:qFormat/>
    <w:locked/>
    <w:rPr>
      <w:sz w:val="18"/>
      <w:szCs w:val="18"/>
    </w:rPr>
  </w:style>
  <w:style w:type="character" w:customStyle="1" w:styleId="Char2">
    <w:name w:val="页脚 Char"/>
    <w:link w:val="a6"/>
    <w:uiPriority w:val="99"/>
    <w:qFormat/>
    <w:locked/>
    <w:rPr>
      <w:sz w:val="18"/>
      <w:szCs w:val="18"/>
    </w:rPr>
  </w:style>
  <w:style w:type="paragraph" w:styleId="af">
    <w:name w:val="List Paragraph"/>
    <w:basedOn w:val="a"/>
    <w:uiPriority w:val="99"/>
    <w:qFormat/>
    <w:pPr>
      <w:ind w:firstLineChars="200" w:firstLine="420"/>
    </w:pPr>
  </w:style>
  <w:style w:type="character" w:customStyle="1" w:styleId="Char1">
    <w:name w:val="批注框文本 Char"/>
    <w:link w:val="a5"/>
    <w:uiPriority w:val="99"/>
    <w:semiHidden/>
    <w:qFormat/>
    <w:locked/>
    <w:rPr>
      <w:sz w:val="18"/>
      <w:szCs w:val="18"/>
    </w:rPr>
  </w:style>
  <w:style w:type="character" w:customStyle="1" w:styleId="Char0">
    <w:name w:val="日期 Char"/>
    <w:basedOn w:val="a0"/>
    <w:link w:val="a4"/>
    <w:uiPriority w:val="99"/>
    <w:semiHidden/>
    <w:qFormat/>
    <w:locked/>
  </w:style>
  <w:style w:type="paragraph" w:customStyle="1" w:styleId="p0">
    <w:name w:val="p0"/>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Char5">
    <w:name w:val="Char"/>
    <w:basedOn w:val="a"/>
    <w:uiPriority w:val="99"/>
    <w:qFormat/>
    <w:pPr>
      <w:spacing w:before="100" w:beforeAutospacing="1" w:after="100" w:afterAutospacing="1"/>
    </w:pPr>
    <w:rPr>
      <w:rFonts w:ascii="Times New Roman" w:hAnsi="Times New Roman" w:cs="Times New Roman"/>
    </w:rPr>
  </w:style>
  <w:style w:type="table" w:customStyle="1" w:styleId="2">
    <w:name w:val="网格型2"/>
    <w:uiPriority w:val="99"/>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文字 Char"/>
    <w:basedOn w:val="a0"/>
    <w:link w:val="a3"/>
    <w:uiPriority w:val="99"/>
    <w:semiHidden/>
    <w:qFormat/>
    <w:rPr>
      <w:rFonts w:cs="Calibri"/>
      <w:kern w:val="2"/>
      <w:sz w:val="21"/>
      <w:szCs w:val="21"/>
    </w:rPr>
  </w:style>
  <w:style w:type="character" w:customStyle="1" w:styleId="Char4">
    <w:name w:val="批注主题 Char"/>
    <w:basedOn w:val="Char"/>
    <w:link w:val="a9"/>
    <w:uiPriority w:val="99"/>
    <w:semiHidden/>
    <w:qFormat/>
    <w:rPr>
      <w:rFonts w:cs="Calibri"/>
      <w:b/>
      <w:bCs/>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D554D29C-7D24-4616-A480-3340E701E04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14</Pages>
  <Words>6269</Words>
  <Characters>426</Characters>
  <Application>Microsoft Office Word</Application>
  <DocSecurity>0</DocSecurity>
  <Lines>3</Lines>
  <Paragraphs>13</Paragraphs>
  <ScaleCrop>false</ScaleCrop>
  <Company>微软中国</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TOSHBIA</dc:creator>
  <cp:lastModifiedBy>微软中国</cp:lastModifiedBy>
  <cp:revision>49</cp:revision>
  <cp:lastPrinted>2020-12-01T08:28:00Z</cp:lastPrinted>
  <dcterms:created xsi:type="dcterms:W3CDTF">2019-12-28T12:36:00Z</dcterms:created>
  <dcterms:modified xsi:type="dcterms:W3CDTF">2020-12-29T01:04:00Z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