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hAnsi="方正小标宋_GBK" w:eastAsia="方正小标宋_GBK"/>
          <w:b w:val="0"/>
          <w:bCs w:val="0"/>
          <w:sz w:val="30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Times New Roman"/>
          <w:b w:val="0"/>
          <w:bCs w:val="0"/>
          <w:sz w:val="30"/>
          <w:lang w:eastAsia="zh-CN"/>
        </w:rPr>
        <w:t>精武镇政府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农村危房改造领域基层政务公开标准目录</w:t>
      </w:r>
    </w:p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260"/>
        <w:gridCol w:w="1980"/>
        <w:gridCol w:w="1800"/>
        <w:gridCol w:w="1402"/>
        <w:gridCol w:w="1440"/>
        <w:gridCol w:w="2018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0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01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0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  <w:t>政策解读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  <w:t>上级政策解读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  <w:t>着重解读政策措施的背景依据、目标任务、主要内容、涉及范围、执行标准，以及注意事项、关键词诠释、惠民利民举措、新旧政策差异等。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  <w:t>《政府信息公开条例》、《关于全面推进政务公开工作的意见》及其实施细则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  <w:t>信息形成之日起20个工作日内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  <w:t>精武镇政府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  <w:t>政务新媒体、公示栏等平台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  <w:t>计划实施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  <w:t>任务分配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  <w:t>及时公开农村危房改造补助农户名单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  <w:t>《政府信息公开条例》、《关于全面推进政务公开工作的意见》及其实施细则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  <w:t>分配结果确定后20个工作日内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  <w:t>精武镇政府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  <w:t>政务新媒体、公示栏等平台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  <w:t>对象认定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  <w:t>认定结果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  <w:t>认定结果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  <w:t>《政府信息公开条例》、《关于全面推进政务公开工作的意见》及其实施细则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  <w:t>信息形成之日起20个工作日内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  <w:t>精武镇政府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  <w:t>政务新媒体、公示栏等平台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A6702"/>
    <w:rsid w:val="336025B2"/>
    <w:rsid w:val="6E6A6702"/>
    <w:rsid w:val="FF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2020-11-14T11:55:00Z</dcterms:created>
  <dc:creator>lenovo</dc:creator>
  <cp:lastModifiedBy>微米ᠯᠢᠦ ᠵᠸᠡᠨ ᠵᠢᠶᠠᠩ</cp:lastModifiedBy>
  <dcterms:modified xsi:type="dcterms:W3CDTF">2020-12-16T11:48:39Z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