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西青区生态环境局2024年法治政府建设</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情况报告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在区委、区政府的坚强领导下，西青区生态环境局坚持以习近平新时代中国特色社会主义思想为指导，深入贯彻习近平生态文明思想和法治思想，全面落实《天津市西青区法治政府建设实施纲要（2021—2025年）》部署要求，以法治建设引领生态环境保护工作，为全区高质量发展提供坚实的生态法治保障。现将全年法治政府建设情况报告如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一、强化法治引领，筑牢依法行政思想根基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（一）以上率下深化理论武装</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领导班子将习近平法治思想、宪法及生态环境法律法规纳入党组理论学习中心组重点学习内容，全年开展专题学习11次，系统研读《习近平谈治国理政》等理论著作，深入学习贯彻党的二十大关于全面依法治国的决策部署。党组书记带头履行法治建设第一责任人职责，全年主持党组会专题研究法治建设工作2次，通过理论中心组学习、专题党课等形式领学17次，带动全局干部职工增强法治意识。</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（二）分层分类抓实法治教育</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年度学法计划，通过集体学习、专题培训等形式组织全局干部系统学习《宪法》《民法典》《环境保护法》等法律法规，重点围绕习近平总书记在中央全面依法治国工作会议上的重要讲话精神开展研讨交流。全年开展法治专题培训6场次，覆盖干部职工200余人次，引导党员干部将法治思维贯穿生态环境保护工作全过程。</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（三）健全机制压实法治责任</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四个亲自"工作机制，将法治建设纳入全局年度工作要点，制定法治政府建设任务清单，逐项分解落实。建立法治建设考核评价体系，将依法行政情况纳入干部年度考核，推动形成"权责明确、齐抓共管"的法治建设工作格局。</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二、聚焦关键环节，提升依法行政工作质效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（一）创新普法模式增强法治自觉</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落实"谁执法谁普法"责任制，推行全程说理式执法，在执法过程中同步开展普法教育。全年组织环境守法培训12场次，覆盖企业200余家；开展"法律进企业"活动8次，帮助企业排查环境隐患35处。通过微信公众号等新媒体平台发布"一图读懂"普法内容15期，营造浓厚法治氛围。</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（二）严格规范行政执法行为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落实行政执法"三项制度"，在区政府网站公开执法主体、权限、程序等信息，全年公示行政处罚决定书46件、责令改正违法行为决定书48件。加强执法全过程记录，依托视频采集站实现执法活动可回溯管理。建立重大执法决定法制审核全覆盖机制，全年审核重大案件62件，确保执法决定合法合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（三）强化法律顾问制度保障</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充实法治工作力量，新增公职律师1名，外聘金诺律师事务所专业团队参与案件审议和法制审核。全年法律顾问参与重大执法决定审核32次，提供法律意见45条，有效防范法律风险，提升依法行政水平。</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三、坚持依法治污，推动生态治理提质增效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（一）深入打好污染防治攻坚战</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实施《西青区持续深入打好污染防治攻坚战2024年攻坚计划》，统筹推进蓝天、碧水、净土保卫战。全年PM2.5浓度同比改善9.1%，优良天数比率达69.1%；饮用水水源达标率保持100%，重点建设用地安全利用率100%。开展VOCs综合整治等大气治理项目70个，完成入河排污口整治42个，创建"无废细胞"92个，提前完成"十四五"创建目标。</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（二）创新生态环境治理机制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园区规划环评与项目环评联动试点，西青经济开发区13个建设项目享受环评简化政策。开展京津冀生态环境联建联防联治，与廊坊市相关部门联合开展执法行动2次，协同治理中亭河水环境。强化科技赋能，567家企业实现工况用电联网，利用智能监控系统处置污染问题219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（三）优化法治化营商环境</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优化营商环境工作计划，开展重污染天气应急减排、固体废物管理等专题培训20余场，帮助企业提升环境管理水平。创新推出环保业务"一本通"，相关经验被编入《西青区优化营商环境典型案例汇编》。全年收到企业赠送锦旗</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面，充分彰显服务效能。</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四、正视问题短板，明确改进提升方向</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（一）法治能力建设有待加强。</w:t>
      </w:r>
      <w:r>
        <w:rPr>
          <w:rFonts w:hint="default" w:ascii="Times New Roman" w:hAnsi="Times New Roman" w:eastAsia="仿宋_GB2312" w:cs="Times New Roman"/>
          <w:sz w:val="32"/>
          <w:szCs w:val="32"/>
        </w:rPr>
        <w:t>个别干部运用法治思维解决实际问题的能力不足，执法队伍在科技化、精准化执法方面仍需提升，危险废物监管等重点领域案件查办经验有待丰富。</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（二）普法宣传实效有待提升。宣</w:t>
      </w:r>
      <w:r>
        <w:rPr>
          <w:rFonts w:hint="default" w:ascii="Times New Roman" w:hAnsi="Times New Roman" w:eastAsia="仿宋_GB2312" w:cs="Times New Roman"/>
          <w:sz w:val="32"/>
          <w:szCs w:val="32"/>
        </w:rPr>
        <w:t>传方式较为传统，企业和公众参与度不足，部分企业守法意识仍需强化，环境违法问题时有发生。</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sz w:val="32"/>
          <w:szCs w:val="32"/>
        </w:rPr>
        <w:t>（三）执法机制创新有待突破。</w:t>
      </w:r>
      <w:r>
        <w:rPr>
          <w:rFonts w:hint="default" w:ascii="Times New Roman" w:hAnsi="Times New Roman" w:eastAsia="仿宋_GB2312" w:cs="Times New Roman"/>
          <w:sz w:val="32"/>
          <w:szCs w:val="32"/>
        </w:rPr>
        <w:t>跨部门协同执法机制尚需完善，非现场监管手段应用不充分，对新业态、新领域环境问题的应对能力有待加强。</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五、深化法治建设，谱写生态治理新篇章</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（一）深化法治思维培育</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建立常态化法治学习机制，将习近平法治思想学习与业务工作深度融合，通过案例教学、模拟执法等方式提升干部法治素养。开展"法治讲堂"活动，邀请专家解读新出台的生态环境法律法规，确保学法用法实效。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（二）加强执法能力建设</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执法队伍素质提升工程，开展科技执法专题培训，推广无人机巡查、在线监控等非现场监管手段。建立执法案例库，组织疑难案件研讨，重点提升危险废物管理等领域执法能力。推行"综合查一次"模式，减少对企业的重复检查。</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（三）创新法治宣传模式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造"互联网+法治宣传"平台，利用微信公众号、短视频等载体开展互动式普法。结合"六五环境日"等节点，组织企业开放日、法治知识竞赛等活动，增强公众环保法治意识。针对企业需求，定制化开展"法律体检"服务，推动形成自觉守法的良好氛围。</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2025年，我局将继续以习近平法治思想为指引，全面落实法治政府建设各项任务，以更高标准推进生态环境保护法治化，为建设现代化活力新城、绿色西青提供更加坚实的法治保障。</w:t>
      </w:r>
    </w:p>
    <w:sectPr>
      <w:footerReference r:id="rId3" w:type="default"/>
      <w:pgSz w:w="11906" w:h="16838"/>
      <w:pgMar w:top="2098" w:right="1559" w:bottom="1701" w:left="155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D92AD"/>
    <w:rsid w:val="77BD87F6"/>
    <w:rsid w:val="7E947429"/>
    <w:rsid w:val="7EED87DA"/>
    <w:rsid w:val="7F5B8073"/>
    <w:rsid w:val="B4F7B745"/>
    <w:rsid w:val="D6AA3024"/>
    <w:rsid w:val="DFFA34EF"/>
    <w:rsid w:val="EBFB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next w:val="1"/>
    <w:qFormat/>
    <w:uiPriority w:val="0"/>
    <w:rPr>
      <w:rFonts w:eastAsia="文星仿宋"/>
    </w:rPr>
  </w:style>
  <w:style w:type="paragraph" w:customStyle="1" w:styleId="3">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16</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gxj</dc:creator>
  <cp:lastModifiedBy>greatwall</cp:lastModifiedBy>
  <cp:lastPrinted>2025-03-25T21:45:00Z</cp:lastPrinted>
  <dcterms:modified xsi:type="dcterms:W3CDTF">2025-03-27T09:42:04Z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KSOTemplateDocerSaveRecord">
    <vt:lpwstr>eyJoZGlkIjoiYzZkODUyMGIxN2U0MDc2NTZjODA2ZGRjNTA2MjM0MWEiLCJ1c2VySWQiOiIxMzQyNzYyMiJ9</vt:lpwstr>
  </property>
  <property fmtid="{D5CDD505-2E9C-101B-9397-08002B2CF9AE}" pid="4" name="ICV">
    <vt:lpwstr>4828F81094E44D0EAFF7321F1D6D50CE_12</vt:lpwstr>
  </property>
</Properties>
</file>