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A7FB1">
      <w:pPr>
        <w:spacing w:line="600" w:lineRule="auto"/>
        <w:jc w:val="both"/>
        <w:rPr>
          <w:rFonts w:hint="eastAsia" w:asciiTheme="minorEastAsia" w:hAnsiTheme="minorEastAsia" w:eastAsiaTheme="minorEastAsia" w:cstheme="minorEastAsia"/>
          <w:b w:val="0"/>
          <w:bCs w:val="0"/>
          <w:color w:val="000000"/>
          <w:sz w:val="22"/>
          <w:szCs w:val="22"/>
        </w:rPr>
      </w:pPr>
    </w:p>
    <w:p w14:paraId="1EF75FE7">
      <w:pPr>
        <w:spacing w:line="600" w:lineRule="auto"/>
        <w:jc w:val="both"/>
        <w:rPr>
          <w:rFonts w:hint="eastAsia" w:asciiTheme="minorEastAsia" w:hAnsiTheme="minorEastAsia" w:eastAsiaTheme="minorEastAsia" w:cstheme="minorEastAsia"/>
          <w:b w:val="0"/>
          <w:bCs w:val="0"/>
          <w:color w:val="000000"/>
          <w:sz w:val="22"/>
          <w:szCs w:val="22"/>
        </w:rPr>
      </w:pPr>
    </w:p>
    <w:p w14:paraId="6620DBC8">
      <w:pPr>
        <w:spacing w:line="600" w:lineRule="auto"/>
        <w:jc w:val="both"/>
        <w:rPr>
          <w:rFonts w:hint="eastAsia" w:asciiTheme="minorEastAsia" w:hAnsiTheme="minorEastAsia" w:eastAsiaTheme="minorEastAsia" w:cstheme="minorEastAsia"/>
          <w:b w:val="0"/>
          <w:bCs w:val="0"/>
          <w:color w:val="000000"/>
          <w:sz w:val="22"/>
          <w:szCs w:val="22"/>
        </w:rPr>
      </w:pPr>
    </w:p>
    <w:p w14:paraId="3B23D12D">
      <w:pPr>
        <w:spacing w:line="600" w:lineRule="auto"/>
        <w:jc w:val="both"/>
        <w:rPr>
          <w:rFonts w:hint="eastAsia" w:asciiTheme="minorEastAsia" w:hAnsiTheme="minorEastAsia" w:eastAsiaTheme="minorEastAsia" w:cstheme="minorEastAsia"/>
          <w:b w:val="0"/>
          <w:bCs w:val="0"/>
          <w:color w:val="000000"/>
          <w:sz w:val="22"/>
          <w:szCs w:val="22"/>
        </w:rPr>
      </w:pPr>
    </w:p>
    <w:p w14:paraId="67E6E362">
      <w:pPr>
        <w:spacing w:line="600" w:lineRule="auto"/>
        <w:jc w:val="both"/>
        <w:rPr>
          <w:rFonts w:hint="eastAsia" w:asciiTheme="minorEastAsia" w:hAnsiTheme="minorEastAsia" w:eastAsiaTheme="minorEastAsia" w:cstheme="minorEastAsia"/>
          <w:b w:val="0"/>
          <w:bCs w:val="0"/>
          <w:color w:val="000000"/>
          <w:sz w:val="22"/>
          <w:szCs w:val="22"/>
        </w:rPr>
      </w:pPr>
    </w:p>
    <w:p w14:paraId="1F9B9C2C">
      <w:pPr>
        <w:autoSpaceDE w:val="0"/>
        <w:autoSpaceDN w:val="0"/>
        <w:adjustRightInd w:val="0"/>
        <w:spacing w:beforeLines="0" w:afterLines="0"/>
        <w:jc w:val="center"/>
        <w:rPr>
          <w:rFonts w:hint="eastAsia" w:ascii="方正小标宋简体" w:hAnsi="方正小标宋简体" w:eastAsia="方正小标宋简体" w:cs="Times New Roman"/>
          <w:kern w:val="0"/>
          <w:sz w:val="48"/>
          <w:szCs w:val="24"/>
          <w:lang w:val="zh-CN"/>
        </w:rPr>
      </w:pPr>
      <w:r>
        <w:rPr>
          <w:rFonts w:hint="eastAsia" w:ascii="方正小标宋简体" w:hAnsi="方正小标宋简体" w:eastAsia="方正小标宋简体" w:cs="Times New Roman"/>
          <w:kern w:val="0"/>
          <w:sz w:val="48"/>
          <w:szCs w:val="24"/>
          <w:lang w:val="zh-CN"/>
        </w:rPr>
        <w:t>天津市西青区机关事务服务中心</w:t>
      </w:r>
    </w:p>
    <w:p w14:paraId="498312A3">
      <w:pPr>
        <w:autoSpaceDE w:val="0"/>
        <w:autoSpaceDN w:val="0"/>
        <w:adjustRightInd w:val="0"/>
        <w:spacing w:beforeLines="0" w:afterLines="0"/>
        <w:jc w:val="center"/>
        <w:rPr>
          <w:rFonts w:hint="eastAsia" w:ascii="方正小标宋简体" w:hAnsi="方正小标宋简体" w:eastAsia="方正小标宋简体" w:cs="Times New Roman"/>
          <w:kern w:val="0"/>
          <w:sz w:val="48"/>
          <w:szCs w:val="24"/>
          <w:lang w:val="zh-CN"/>
        </w:rPr>
      </w:pPr>
      <w:r>
        <w:rPr>
          <w:rFonts w:hint="eastAsia" w:ascii="方正小标宋简体" w:hAnsi="方正小标宋简体" w:eastAsia="方正小标宋简体" w:cs="Times New Roman"/>
          <w:kern w:val="0"/>
          <w:sz w:val="48"/>
          <w:szCs w:val="24"/>
          <w:lang w:val="zh-CN"/>
        </w:rPr>
        <w:t>2024年度部门决算</w:t>
      </w:r>
    </w:p>
    <w:p w14:paraId="12FB57D7">
      <w:pPr>
        <w:spacing w:line="600" w:lineRule="auto"/>
        <w:jc w:val="both"/>
        <w:rPr>
          <w:rFonts w:hint="eastAsia" w:asciiTheme="minorEastAsia" w:hAnsiTheme="minorEastAsia" w:eastAsiaTheme="minorEastAsia" w:cstheme="minorEastAsia"/>
          <w:b w:val="0"/>
          <w:bCs w:val="0"/>
          <w:color w:val="000000"/>
          <w:sz w:val="22"/>
          <w:szCs w:val="22"/>
        </w:rPr>
      </w:pPr>
    </w:p>
    <w:p w14:paraId="23313EA5">
      <w:pPr>
        <w:spacing w:line="600" w:lineRule="auto"/>
        <w:jc w:val="both"/>
        <w:rPr>
          <w:rFonts w:hint="eastAsia" w:asciiTheme="minorEastAsia" w:hAnsiTheme="minorEastAsia" w:eastAsiaTheme="minorEastAsia" w:cstheme="minorEastAsia"/>
          <w:b w:val="0"/>
          <w:bCs w:val="0"/>
          <w:color w:val="000000"/>
          <w:sz w:val="22"/>
          <w:szCs w:val="22"/>
        </w:rPr>
      </w:pPr>
    </w:p>
    <w:p w14:paraId="3ADFECEE">
      <w:pPr>
        <w:spacing w:line="600" w:lineRule="auto"/>
        <w:jc w:val="both"/>
        <w:rPr>
          <w:rFonts w:hint="eastAsia" w:asciiTheme="minorEastAsia" w:hAnsiTheme="minorEastAsia" w:eastAsiaTheme="minorEastAsia" w:cstheme="minorEastAsia"/>
          <w:b w:val="0"/>
          <w:bCs w:val="0"/>
          <w:color w:val="000000"/>
          <w:sz w:val="22"/>
          <w:szCs w:val="22"/>
        </w:rPr>
      </w:pPr>
    </w:p>
    <w:p w14:paraId="76F14020">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14:paraId="4477CDB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目录</w:t>
      </w:r>
    </w:p>
    <w:p w14:paraId="08794B76">
      <w:pPr>
        <w:widowControl/>
        <w:spacing w:before="0" w:beforeLines="0" w:beforeAutospacing="0" w:after="0" w:afterLines="0" w:afterAutospacing="0" w:line="240" w:lineRule="auto"/>
        <w:jc w:val="left"/>
        <w:rPr>
          <w:rFonts w:ascii="Fz_S_BiaoSong_Jt" w:eastAsia="Fz_S_BiaoSong_Jt"/>
          <w:sz w:val="30"/>
          <w:szCs w:val="30"/>
        </w:rPr>
      </w:pPr>
      <w:r>
        <w:rPr>
          <w:rFonts w:ascii="Fz_S_BiaoSong_Jt" w:eastAsia="Fz_S_BiaoSong_Jt"/>
          <w:b/>
          <w:sz w:val="30"/>
          <w:szCs w:val="30"/>
        </w:rPr>
        <w:t>第一部分概况</w:t>
      </w:r>
    </w:p>
    <w:p w14:paraId="0785BD0D">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14:paraId="6B6DF88E">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14:paraId="666041BC">
      <w:pPr>
        <w:widowControl/>
        <w:spacing w:before="0" w:beforeLines="0" w:beforeAutospacing="0" w:after="0" w:afterLines="0" w:afterAutospacing="0" w:line="240" w:lineRule="auto"/>
        <w:jc w:val="left"/>
        <w:rPr>
          <w:rFonts w:ascii="Fz_S_BiaoSong_Jt" w:eastAsia="Fz_S_BiaoSong_Jt"/>
          <w:sz w:val="30"/>
          <w:szCs w:val="30"/>
        </w:rPr>
      </w:pPr>
      <w:r>
        <w:rPr>
          <w:rFonts w:ascii="Fz_S_BiaoSong_Jt" w:eastAsia="Fz_S_BiaoSong_Jt"/>
          <w:b/>
          <w:sz w:val="30"/>
          <w:szCs w:val="30"/>
        </w:rPr>
        <w:t>第二部分2024年度部门决算报表</w:t>
      </w:r>
    </w:p>
    <w:p w14:paraId="3E593D55">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14:paraId="13AF169F">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14:paraId="2BA69663">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14:paraId="3F6D03B2">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14:paraId="037BF041">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14:paraId="08794518">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14:paraId="442EEB1F">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14:paraId="5010A8A9">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14:paraId="4366F22C">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14:paraId="7B45ABFC">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14:paraId="2341C70C">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14:paraId="7FA40720">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十二、关于空表的说明</w:t>
      </w:r>
    </w:p>
    <w:p w14:paraId="3804838E">
      <w:pPr>
        <w:widowControl/>
        <w:spacing w:before="0" w:beforeLines="0" w:beforeAutospacing="0" w:after="0" w:afterLines="0" w:afterAutospacing="0" w:line="240" w:lineRule="auto"/>
        <w:jc w:val="left"/>
        <w:rPr>
          <w:rFonts w:ascii="Fz_S_BiaoSong_Jt" w:eastAsia="Fz_S_BiaoSong_Jt"/>
          <w:sz w:val="30"/>
          <w:szCs w:val="30"/>
        </w:rPr>
      </w:pPr>
      <w:r>
        <w:rPr>
          <w:rFonts w:ascii="Fz_S_BiaoSong_Jt" w:eastAsia="Fz_S_BiaoSong_Jt"/>
          <w:b/>
          <w:sz w:val="30"/>
          <w:szCs w:val="30"/>
        </w:rPr>
        <w:t>第三部分2024年度部门决算情况说明</w:t>
      </w:r>
    </w:p>
    <w:p w14:paraId="3E0A6B2C">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14:paraId="3B318E80">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14:paraId="33EFF31B">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14:paraId="300FE6F0">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14:paraId="0CADAE51">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14:paraId="161A3F26">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14:paraId="0B207EF0">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14:paraId="1E9D7200">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14:paraId="464744E7">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14:paraId="6EA0530F">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14:paraId="0256C1B9">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14:paraId="689CBF54">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14:paraId="084DA468">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14:paraId="45FB18A4">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14:paraId="3DBF1AEE">
      <w:pPr>
        <w:widowControl/>
        <w:spacing w:before="0" w:beforeLines="0" w:beforeAutospacing="0" w:after="0" w:afterLines="0" w:afterAutospacing="0" w:line="240" w:lineRule="auto"/>
        <w:jc w:val="left"/>
        <w:rPr>
          <w:rFonts w:ascii="Fz_S_BiaoSong_Jt" w:eastAsia="Fz_S_BiaoSong_Jt"/>
          <w:sz w:val="30"/>
          <w:szCs w:val="30"/>
        </w:rPr>
      </w:pPr>
      <w:r>
        <w:rPr>
          <w:rFonts w:ascii="Fz_S_BiaoSong_Jt" w:eastAsia="Fz_S_BiaoSong_Jt"/>
          <w:b/>
          <w:sz w:val="30"/>
          <w:szCs w:val="30"/>
        </w:rPr>
        <w:t>第四部分名词解释</w:t>
      </w:r>
    </w:p>
    <w:p w14:paraId="7FDECD9F">
      <w:pPr>
        <w:rPr>
          <w:rFonts w:hint="eastAsia" w:asciiTheme="minorEastAsia" w:hAnsiTheme="minorEastAsia" w:eastAsiaTheme="minorEastAsia" w:cstheme="minorEastAsia"/>
          <w:b w:val="0"/>
          <w:bCs w:val="0"/>
          <w:sz w:val="22"/>
          <w:szCs w:val="22"/>
          <w:highlight w:val="yellow"/>
        </w:rPr>
      </w:pPr>
    </w:p>
    <w:p w14:paraId="6ADDDE7A">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14:paraId="67269E98">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14:paraId="158C0639">
      <w:pPr>
        <w:widowControl/>
        <w:spacing w:before="0" w:beforeLines="0" w:beforeAutospacing="0" w:after="0" w:afterLines="0" w:afterAutospacing="0" w:line="240" w:lineRule="auto"/>
        <w:jc w:val="center"/>
        <w:outlineLvl w:val="0"/>
        <w:rPr>
          <w:rFonts w:ascii="宋体" w:eastAsia="Fz_S_BiaoSong_Jt"/>
          <w:sz w:val="44"/>
          <w:szCs w:val="44"/>
        </w:rPr>
      </w:pPr>
      <w:r>
        <w:rPr>
          <w:rFonts w:ascii="宋体" w:eastAsia="Fz_S_BiaoSong_Jt"/>
          <w:b/>
          <w:sz w:val="44"/>
          <w:szCs w:val="44"/>
        </w:rPr>
        <w:t>第一部分概况</w:t>
      </w:r>
    </w:p>
    <w:p w14:paraId="001B4639">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14:paraId="39CBBA24">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hint="eastAsia" w:ascii="仿宋" w:hAnsi="仿宋" w:eastAsia="仿宋" w:cs="仿宋"/>
          <w:sz w:val="30"/>
          <w:szCs w:val="30"/>
          <w:lang w:eastAsia="zh-CN"/>
        </w:rPr>
        <w:t>天津市西青区机关事务服务中心主要职责是负责区级机关事务相关服务保障工作</w:t>
      </w:r>
    </w:p>
    <w:p w14:paraId="355F7E7B">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14:paraId="3806C16A">
      <w:pPr>
        <w:widowControl/>
        <w:spacing w:before="0" w:beforeLines="0" w:beforeAutospacing="0" w:after="0" w:afterLines="0" w:afterAutospacing="0" w:line="240" w:lineRule="auto"/>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lang w:eastAsia="zh-CN"/>
        </w:rPr>
        <w:t>天津市西青区机关事务服务中心内设5个职能科室</w:t>
      </w:r>
      <w:r>
        <w:rPr>
          <w:rFonts w:ascii="Times New Roman" w:eastAsia="仿宋_GB2312"/>
          <w:b w:val="0"/>
          <w:sz w:val="30"/>
          <w:szCs w:val="30"/>
        </w:rPr>
        <w:t>；</w:t>
      </w:r>
      <w:r>
        <w:rPr>
          <w:rFonts w:hint="eastAsia" w:ascii="Times New Roman" w:eastAsia="仿宋_GB2312"/>
          <w:b w:val="0"/>
          <w:sz w:val="30"/>
          <w:szCs w:val="30"/>
          <w:lang w:val="en-US" w:eastAsia="zh-CN"/>
        </w:rPr>
        <w:t>无</w:t>
      </w:r>
      <w:r>
        <w:rPr>
          <w:rFonts w:ascii="Times New Roman" w:eastAsia="仿宋_GB2312"/>
          <w:b w:val="0"/>
          <w:sz w:val="30"/>
          <w:szCs w:val="30"/>
        </w:rPr>
        <w:t>下辖预算单位。纳入天津市西青区机关事务服务中心2024</w:t>
      </w:r>
      <w:r>
        <w:rPr>
          <w:rFonts w:hint="eastAsia" w:ascii="仿宋" w:hAnsi="仿宋" w:eastAsia="仿宋" w:cs="仿宋"/>
          <w:sz w:val="30"/>
          <w:szCs w:val="30"/>
          <w:lang w:eastAsia="zh-CN"/>
        </w:rPr>
        <w:t>年度部门决算编制范围的单位包括：</w:t>
      </w:r>
      <w:r>
        <w:rPr>
          <w:rFonts w:hint="eastAsia" w:ascii="仿宋" w:hAnsi="仿宋" w:eastAsia="仿宋" w:cs="仿宋"/>
          <w:sz w:val="30"/>
          <w:szCs w:val="30"/>
          <w:lang w:val="en-US" w:eastAsia="zh-CN"/>
        </w:rPr>
        <w:t>天津市西青区机关事务服务中心。</w:t>
      </w:r>
    </w:p>
    <w:p w14:paraId="727DA857">
      <w:pPr>
        <w:tabs>
          <w:tab w:val="left" w:pos="2728"/>
        </w:tabs>
        <w:jc w:val="both"/>
        <w:rPr>
          <w:rFonts w:hint="eastAsia" w:asciiTheme="minorEastAsia" w:hAnsiTheme="minorEastAsia" w:eastAsiaTheme="minorEastAsia" w:cstheme="minorEastAsia"/>
          <w:b w:val="0"/>
          <w:bCs w:val="0"/>
          <w:sz w:val="22"/>
          <w:szCs w:val="22"/>
        </w:rPr>
      </w:pPr>
    </w:p>
    <w:p w14:paraId="4BD00250">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3228CFB5">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3A333E9D">
      <w:pPr>
        <w:widowControl/>
        <w:spacing w:after="160" w:line="580" w:lineRule="exact"/>
        <w:rPr>
          <w:rFonts w:hint="eastAsia" w:asciiTheme="minorEastAsia" w:hAnsiTheme="minorEastAsia" w:eastAsiaTheme="minorEastAsia" w:cstheme="minorEastAsia"/>
          <w:b w:val="0"/>
          <w:bCs w:val="0"/>
          <w:sz w:val="22"/>
          <w:szCs w:val="22"/>
          <w:lang w:val="en-US" w:eastAsia="zh-CN"/>
        </w:rPr>
      </w:pPr>
    </w:p>
    <w:p w14:paraId="5CC6DFE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pPr>
    </w:p>
    <w:p w14:paraId="2AD26D8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pPr>
    </w:p>
    <w:p w14:paraId="44B31CBD">
      <w:pPr>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14:paraId="21D0425C">
      <w:pPr>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pPr>
    </w:p>
    <w:p w14:paraId="24DAC1FB">
      <w:pPr>
        <w:widowControl/>
        <w:spacing w:before="0" w:beforeLines="0" w:beforeAutospacing="0" w:after="0" w:afterLines="0" w:afterAutospacing="0" w:line="240" w:lineRule="auto"/>
        <w:jc w:val="center"/>
        <w:outlineLvl w:val="0"/>
        <w:rPr>
          <w:rFonts w:ascii="Fz_S_BiaoSong_Jt" w:eastAsia="Fz_S_BiaoSong_Jt"/>
          <w:sz w:val="44"/>
          <w:szCs w:val="44"/>
        </w:rPr>
      </w:pPr>
      <w:r>
        <w:rPr>
          <w:rFonts w:ascii="Fz_S_BiaoSong_Jt" w:eastAsia="Fz_S_BiaoSong_Jt"/>
          <w:b/>
          <w:sz w:val="44"/>
          <w:szCs w:val="44"/>
        </w:rPr>
        <w:t>第二部分2024年度部门决算报表</w:t>
      </w:r>
    </w:p>
    <w:p w14:paraId="726805A4">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14:paraId="6951D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14:paraId="07F7016E">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1087" w:type="pct"/>
            <w:tcBorders>
              <w:top w:val="nil"/>
              <w:left w:val="nil"/>
              <w:bottom w:val="nil"/>
              <w:right w:val="nil"/>
            </w:tcBorders>
            <w:shd w:val="clear" w:color="auto" w:fill="auto"/>
            <w:noWrap/>
            <w:vAlign w:val="bottom"/>
          </w:tcPr>
          <w:p w14:paraId="45DDE756">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14:paraId="32316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C90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14:paraId="23BE8CAC">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14:paraId="151FCA3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14:paraId="1BAC8774">
            <w:pPr>
              <w:jc w:val="center"/>
              <w:rPr>
                <w:rFonts w:hint="eastAsia" w:asciiTheme="minorEastAsia" w:hAnsiTheme="minorEastAsia" w:eastAsiaTheme="minorEastAsia" w:cstheme="minorEastAsia"/>
                <w:b w:val="0"/>
                <w:bCs w:val="0"/>
                <w:i w:val="0"/>
                <w:iCs w:val="0"/>
                <w:color w:val="000000"/>
                <w:sz w:val="22"/>
                <w:szCs w:val="22"/>
                <w:u w:val="none"/>
              </w:rPr>
            </w:pPr>
          </w:p>
        </w:tc>
      </w:tr>
      <w:tr w14:paraId="4DDFD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B46D0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14:paraId="03AB44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14:paraId="5E81FC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14:paraId="667B36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14:paraId="7602C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598EB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534B9E6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1285" w:type="pct"/>
            <w:tcBorders>
              <w:top w:val="nil"/>
              <w:left w:val="nil"/>
              <w:bottom w:val="single" w:color="000000" w:sz="4" w:space="0"/>
              <w:right w:val="single" w:color="000000" w:sz="4" w:space="0"/>
            </w:tcBorders>
            <w:shd w:val="clear" w:color="auto" w:fill="auto"/>
            <w:noWrap/>
            <w:vAlign w:val="center"/>
          </w:tcPr>
          <w:p w14:paraId="673DA6A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14:paraId="0E592B8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81,572,669.54</w:t>
            </w:r>
          </w:p>
        </w:tc>
      </w:tr>
      <w:tr w14:paraId="773A0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12ACE2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4E5B57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BE1091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14:paraId="035CDF4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AB30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1E0A5E2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48B6C3C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79FDD8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14:paraId="05BC82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r>
      <w:tr w14:paraId="0CBE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1A7E47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14:paraId="3F2E865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06C961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14:paraId="629F7E1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A50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F6E3A2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14:paraId="2EA6AD7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82A278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14:paraId="7BCEAE7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4FE0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8250F9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14:paraId="371C7A1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EA63F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14:paraId="11176A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487,145.48</w:t>
            </w:r>
          </w:p>
        </w:tc>
      </w:tr>
      <w:tr w14:paraId="0EDD8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396D6E9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14:paraId="44BDD3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E00BBA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14:paraId="72B2A3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r>
      <w:tr w14:paraId="0A5A8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BEADB1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14:paraId="133303B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5C0768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14:paraId="036FDE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210B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2DFD8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14:paraId="14F93C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12892CD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14:paraId="1D62234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76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628529F3">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DC6410B">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30FAD8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14:paraId="65F5C6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32F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9249171">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73DDAE6">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B940F8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14:paraId="4755770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AC7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65C8CC22">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70DFF9F2">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4D7471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14:paraId="1F26FB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FD6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0853795E">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F101A86">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9F793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14:paraId="3867C4E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16F6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5D9D5ECF">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E1D9691">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D19340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14:paraId="5DC658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0BD4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F452270">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8EFAD17">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1BA382F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14:paraId="39B1223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B75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FDB634B">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79B2CE65">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A3F4A2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14:paraId="5E4E69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DD8C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1116BAA">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068F5B18">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17191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14:paraId="39660B2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AAAD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E092B8A">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63C7C0C">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4D03CA2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14:paraId="4EC48E4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AC6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8D54178">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ECACE23">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098A84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14:paraId="0D42CE4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FBE6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542C589E">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3D5A1841">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D449AF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14:paraId="270D416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8B6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5692E5D8">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69E074D9">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0FEAAE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14:paraId="7A6D165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348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631C9C4">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25B4173F">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367DD2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14:paraId="1FA07E6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72DE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0594CAA6">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14:paraId="4201CB3F">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7DBAC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14:paraId="0D8BF2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63D9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F89702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14:paraId="272F0F6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1285" w:type="pct"/>
            <w:tcBorders>
              <w:top w:val="nil"/>
              <w:left w:val="nil"/>
              <w:bottom w:val="single" w:color="000000" w:sz="4" w:space="0"/>
              <w:right w:val="single" w:color="000000" w:sz="4" w:space="0"/>
            </w:tcBorders>
            <w:shd w:val="clear" w:color="auto" w:fill="auto"/>
            <w:noWrap/>
            <w:vAlign w:val="center"/>
          </w:tcPr>
          <w:p w14:paraId="7501966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14:paraId="788F419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r>
      <w:tr w14:paraId="3572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12FF72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14:paraId="670914A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744512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14:paraId="5E619A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7105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9A3DB2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14:paraId="6843BD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230C13C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14:paraId="2769D4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21E9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C36B6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14:paraId="4474DEC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9F7E587">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14:paraId="41288525">
            <w:pPr>
              <w:jc w:val="left"/>
              <w:rPr>
                <w:rFonts w:hint="eastAsia" w:asciiTheme="minorEastAsia" w:hAnsiTheme="minorEastAsia" w:eastAsiaTheme="minorEastAsia" w:cstheme="minorEastAsia"/>
                <w:b w:val="0"/>
                <w:bCs w:val="0"/>
                <w:i w:val="0"/>
                <w:iCs w:val="0"/>
                <w:color w:val="000000"/>
                <w:sz w:val="22"/>
                <w:szCs w:val="22"/>
                <w:u w:val="none"/>
              </w:rPr>
            </w:pPr>
          </w:p>
        </w:tc>
      </w:tr>
      <w:tr w14:paraId="17C2B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22793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14:paraId="0FB4B4D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14:paraId="6511BD20">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14:paraId="1C66F88C">
            <w:pPr>
              <w:jc w:val="left"/>
              <w:rPr>
                <w:rFonts w:hint="eastAsia" w:asciiTheme="minorEastAsia" w:hAnsiTheme="minorEastAsia" w:eastAsiaTheme="minorEastAsia" w:cstheme="minorEastAsia"/>
                <w:b w:val="0"/>
                <w:bCs w:val="0"/>
                <w:i w:val="0"/>
                <w:iCs w:val="0"/>
                <w:color w:val="000000"/>
                <w:sz w:val="22"/>
                <w:szCs w:val="22"/>
                <w:u w:val="none"/>
              </w:rPr>
            </w:pPr>
          </w:p>
        </w:tc>
      </w:tr>
      <w:tr w14:paraId="3F1CB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5AD9EE6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14:paraId="3D96EED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1285" w:type="pct"/>
            <w:tcBorders>
              <w:top w:val="nil"/>
              <w:left w:val="nil"/>
              <w:bottom w:val="single" w:color="000000" w:sz="4" w:space="0"/>
              <w:right w:val="single" w:color="000000" w:sz="4" w:space="0"/>
            </w:tcBorders>
            <w:shd w:val="clear" w:color="auto" w:fill="auto"/>
            <w:noWrap/>
            <w:vAlign w:val="center"/>
          </w:tcPr>
          <w:p w14:paraId="3CEA8A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14:paraId="4B32B2F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r>
      <w:tr w14:paraId="0AF4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14:paraId="2D4F22C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14:paraId="128A6F33">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14:paraId="47AF685B">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4"/>
        <w:gridCol w:w="3031"/>
        <w:gridCol w:w="1263"/>
        <w:gridCol w:w="1137"/>
        <w:gridCol w:w="1231"/>
        <w:gridCol w:w="1108"/>
        <w:gridCol w:w="1183"/>
        <w:gridCol w:w="1154"/>
        <w:gridCol w:w="1246"/>
        <w:gridCol w:w="1234"/>
      </w:tblGrid>
      <w:tr w14:paraId="2D6F8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59" w:type="pct"/>
            <w:gridSpan w:val="9"/>
            <w:tcBorders>
              <w:top w:val="nil"/>
              <w:left w:val="nil"/>
              <w:bottom w:val="nil"/>
              <w:right w:val="nil"/>
            </w:tcBorders>
            <w:shd w:val="clear" w:color="auto" w:fill="auto"/>
            <w:noWrap/>
            <w:vAlign w:val="bottom"/>
          </w:tcPr>
          <w:p w14:paraId="2D1250C4">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440" w:type="pct"/>
            <w:tcBorders>
              <w:top w:val="nil"/>
              <w:left w:val="nil"/>
              <w:bottom w:val="nil"/>
              <w:right w:val="nil"/>
            </w:tcBorders>
            <w:shd w:val="clear" w:color="auto" w:fill="auto"/>
            <w:noWrap/>
            <w:vAlign w:val="bottom"/>
          </w:tcPr>
          <w:p w14:paraId="46983C76">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7FD56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58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0D5A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450" w:type="pct"/>
            <w:vMerge w:val="restart"/>
            <w:tcBorders>
              <w:top w:val="single" w:color="000000" w:sz="4" w:space="0"/>
              <w:left w:val="nil"/>
              <w:bottom w:val="single" w:color="000000" w:sz="4" w:space="0"/>
              <w:right w:val="single" w:color="000000" w:sz="4" w:space="0"/>
            </w:tcBorders>
            <w:shd w:val="clear" w:color="auto" w:fill="auto"/>
            <w:noWrap/>
            <w:vAlign w:val="center"/>
          </w:tcPr>
          <w:p w14:paraId="31AA866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406" w:type="pct"/>
            <w:vMerge w:val="restart"/>
            <w:tcBorders>
              <w:top w:val="single" w:color="000000" w:sz="4" w:space="0"/>
              <w:left w:val="nil"/>
              <w:bottom w:val="single" w:color="000000" w:sz="4" w:space="0"/>
              <w:right w:val="single" w:color="000000" w:sz="4" w:space="0"/>
            </w:tcBorders>
            <w:shd w:val="clear" w:color="auto" w:fill="auto"/>
            <w:noWrap/>
            <w:vAlign w:val="center"/>
          </w:tcPr>
          <w:p w14:paraId="337F94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439" w:type="pct"/>
            <w:vMerge w:val="restart"/>
            <w:tcBorders>
              <w:top w:val="single" w:color="000000" w:sz="4" w:space="0"/>
              <w:left w:val="nil"/>
              <w:bottom w:val="single" w:color="000000" w:sz="4" w:space="0"/>
              <w:right w:val="single" w:color="000000" w:sz="4" w:space="0"/>
            </w:tcBorders>
            <w:shd w:val="clear" w:color="auto" w:fill="auto"/>
            <w:noWrap/>
            <w:vAlign w:val="center"/>
          </w:tcPr>
          <w:p w14:paraId="145972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819" w:type="pct"/>
            <w:gridSpan w:val="2"/>
            <w:tcBorders>
              <w:top w:val="single" w:color="000000" w:sz="4" w:space="0"/>
              <w:left w:val="nil"/>
              <w:bottom w:val="single" w:color="000000" w:sz="4" w:space="0"/>
              <w:right w:val="single" w:color="000000" w:sz="4" w:space="0"/>
            </w:tcBorders>
            <w:shd w:val="clear" w:color="auto" w:fill="auto"/>
            <w:noWrap/>
            <w:vAlign w:val="center"/>
          </w:tcPr>
          <w:p w14:paraId="084063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412" w:type="pct"/>
            <w:vMerge w:val="restart"/>
            <w:tcBorders>
              <w:top w:val="single" w:color="000000" w:sz="4" w:space="0"/>
              <w:left w:val="nil"/>
              <w:bottom w:val="single" w:color="000000" w:sz="4" w:space="0"/>
              <w:right w:val="single" w:color="000000" w:sz="4" w:space="0"/>
            </w:tcBorders>
            <w:shd w:val="clear" w:color="auto" w:fill="auto"/>
            <w:noWrap/>
            <w:vAlign w:val="center"/>
          </w:tcPr>
          <w:p w14:paraId="55C167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14:paraId="4BB74B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440" w:type="pct"/>
            <w:vMerge w:val="restart"/>
            <w:tcBorders>
              <w:top w:val="single" w:color="000000" w:sz="4" w:space="0"/>
              <w:left w:val="nil"/>
              <w:bottom w:val="single" w:color="000000" w:sz="4" w:space="0"/>
              <w:right w:val="single" w:color="000000" w:sz="4" w:space="0"/>
            </w:tcBorders>
            <w:shd w:val="clear" w:color="auto" w:fill="auto"/>
            <w:noWrap/>
            <w:vAlign w:val="center"/>
          </w:tcPr>
          <w:p w14:paraId="155183F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14:paraId="77E96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1" w:type="pct"/>
            <w:tcBorders>
              <w:top w:val="nil"/>
              <w:left w:val="single" w:color="000000" w:sz="4" w:space="0"/>
              <w:bottom w:val="single" w:color="000000" w:sz="4" w:space="0"/>
              <w:right w:val="single" w:color="000000" w:sz="4" w:space="0"/>
            </w:tcBorders>
            <w:shd w:val="clear" w:color="auto" w:fill="auto"/>
            <w:noWrap/>
            <w:vAlign w:val="center"/>
          </w:tcPr>
          <w:p w14:paraId="43A0E35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1083" w:type="pct"/>
            <w:tcBorders>
              <w:top w:val="nil"/>
              <w:left w:val="nil"/>
              <w:bottom w:val="single" w:color="000000" w:sz="4" w:space="0"/>
              <w:right w:val="single" w:color="000000" w:sz="4" w:space="0"/>
            </w:tcBorders>
            <w:shd w:val="clear" w:color="auto" w:fill="auto"/>
            <w:noWrap/>
            <w:vAlign w:val="center"/>
          </w:tcPr>
          <w:p w14:paraId="54D8A4B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45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F1B04D8">
            <w:pPr>
              <w:jc w:val="center"/>
              <w:rPr>
                <w:rFonts w:hint="eastAsia" w:asciiTheme="minorEastAsia" w:hAnsiTheme="minorEastAsia" w:eastAsiaTheme="minorEastAsia" w:cstheme="minorEastAsia"/>
                <w:b w:val="0"/>
                <w:bCs w:val="0"/>
                <w:i w:val="0"/>
                <w:iCs w:val="0"/>
                <w:color w:val="000000"/>
                <w:sz w:val="15"/>
                <w:szCs w:val="15"/>
                <w:u w:val="none"/>
              </w:rPr>
            </w:pPr>
          </w:p>
        </w:tc>
        <w:tc>
          <w:tcPr>
            <w:tcW w:w="40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A9A9CD3">
            <w:pPr>
              <w:jc w:val="center"/>
              <w:rPr>
                <w:rFonts w:hint="eastAsia" w:asciiTheme="minorEastAsia" w:hAnsiTheme="minorEastAsia" w:eastAsiaTheme="minorEastAsia" w:cstheme="minorEastAsia"/>
                <w:b w:val="0"/>
                <w:bCs w:val="0"/>
                <w:i w:val="0"/>
                <w:iCs w:val="0"/>
                <w:color w:val="000000"/>
                <w:sz w:val="15"/>
                <w:szCs w:val="15"/>
                <w:u w:val="none"/>
              </w:rPr>
            </w:pPr>
          </w:p>
        </w:tc>
        <w:tc>
          <w:tcPr>
            <w:tcW w:w="43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C95F3F6">
            <w:pPr>
              <w:jc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nil"/>
              <w:left w:val="nil"/>
              <w:bottom w:val="single" w:color="000000" w:sz="4" w:space="0"/>
              <w:right w:val="single" w:color="000000" w:sz="4" w:space="0"/>
            </w:tcBorders>
            <w:shd w:val="clear" w:color="auto" w:fill="auto"/>
            <w:noWrap/>
            <w:vAlign w:val="center"/>
          </w:tcPr>
          <w:p w14:paraId="3B415E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423" w:type="pct"/>
            <w:tcBorders>
              <w:top w:val="nil"/>
              <w:left w:val="nil"/>
              <w:bottom w:val="single" w:color="000000" w:sz="4" w:space="0"/>
              <w:right w:val="single" w:color="000000" w:sz="4" w:space="0"/>
            </w:tcBorders>
            <w:shd w:val="clear" w:color="auto" w:fill="auto"/>
            <w:noWrap/>
            <w:vAlign w:val="center"/>
          </w:tcPr>
          <w:p w14:paraId="791D45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41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9A0A020">
            <w:pPr>
              <w:jc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1488E67">
            <w:pPr>
              <w:jc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4A43BE9">
            <w:pPr>
              <w:jc w:val="center"/>
              <w:rPr>
                <w:rFonts w:hint="eastAsia" w:asciiTheme="minorEastAsia" w:hAnsiTheme="minorEastAsia" w:eastAsiaTheme="minorEastAsia" w:cstheme="minorEastAsia"/>
                <w:b w:val="0"/>
                <w:bCs w:val="0"/>
                <w:i w:val="0"/>
                <w:iCs w:val="0"/>
                <w:color w:val="000000"/>
                <w:sz w:val="15"/>
                <w:szCs w:val="15"/>
                <w:u w:val="none"/>
              </w:rPr>
            </w:pPr>
          </w:p>
        </w:tc>
      </w:tr>
      <w:tr w14:paraId="0D78A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584" w:type="pct"/>
            <w:gridSpan w:val="2"/>
            <w:tcBorders>
              <w:top w:val="nil"/>
              <w:left w:val="single" w:color="000000" w:sz="4" w:space="0"/>
              <w:bottom w:val="nil"/>
              <w:right w:val="single" w:color="000000" w:sz="4" w:space="0"/>
            </w:tcBorders>
            <w:shd w:val="clear" w:color="auto" w:fill="auto"/>
            <w:vAlign w:val="center"/>
          </w:tcPr>
          <w:p w14:paraId="586D77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450" w:type="pct"/>
            <w:tcBorders>
              <w:top w:val="nil"/>
              <w:left w:val="nil"/>
              <w:bottom w:val="nil"/>
              <w:right w:val="single" w:color="000000" w:sz="4" w:space="0"/>
            </w:tcBorders>
            <w:shd w:val="clear" w:color="auto" w:fill="auto"/>
            <w:vAlign w:val="center"/>
          </w:tcPr>
          <w:p w14:paraId="56908C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82,240,904.10</w:t>
            </w:r>
          </w:p>
        </w:tc>
        <w:tc>
          <w:tcPr>
            <w:tcW w:w="406" w:type="pct"/>
            <w:tcBorders>
              <w:top w:val="nil"/>
              <w:left w:val="nil"/>
              <w:bottom w:val="nil"/>
              <w:right w:val="single" w:color="000000" w:sz="4" w:space="0"/>
            </w:tcBorders>
            <w:shd w:val="clear" w:color="auto" w:fill="auto"/>
            <w:vAlign w:val="center"/>
          </w:tcPr>
          <w:p w14:paraId="7F7A171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82,240,904.10</w:t>
            </w:r>
          </w:p>
        </w:tc>
        <w:tc>
          <w:tcPr>
            <w:tcW w:w="439" w:type="pct"/>
            <w:tcBorders>
              <w:top w:val="nil"/>
              <w:left w:val="nil"/>
              <w:bottom w:val="nil"/>
              <w:right w:val="single" w:color="000000" w:sz="4" w:space="0"/>
            </w:tcBorders>
            <w:shd w:val="clear" w:color="auto" w:fill="auto"/>
            <w:vAlign w:val="center"/>
          </w:tcPr>
          <w:p w14:paraId="2956A0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nil"/>
              <w:left w:val="nil"/>
              <w:bottom w:val="nil"/>
              <w:right w:val="single" w:color="000000" w:sz="4" w:space="0"/>
            </w:tcBorders>
            <w:shd w:val="clear" w:color="auto" w:fill="auto"/>
            <w:vAlign w:val="center"/>
          </w:tcPr>
          <w:p w14:paraId="7D01D40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nil"/>
              <w:left w:val="nil"/>
              <w:bottom w:val="nil"/>
              <w:right w:val="single" w:color="000000" w:sz="4" w:space="0"/>
            </w:tcBorders>
            <w:shd w:val="clear" w:color="auto" w:fill="auto"/>
            <w:vAlign w:val="center"/>
          </w:tcPr>
          <w:p w14:paraId="4A10B7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nil"/>
              <w:left w:val="nil"/>
              <w:bottom w:val="nil"/>
              <w:right w:val="single" w:color="000000" w:sz="4" w:space="0"/>
            </w:tcBorders>
            <w:shd w:val="clear" w:color="auto" w:fill="auto"/>
            <w:vAlign w:val="center"/>
          </w:tcPr>
          <w:p w14:paraId="2448515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nil"/>
              <w:left w:val="nil"/>
              <w:bottom w:val="nil"/>
              <w:right w:val="single" w:color="000000" w:sz="4" w:space="0"/>
            </w:tcBorders>
            <w:shd w:val="clear" w:color="auto" w:fill="auto"/>
            <w:vAlign w:val="center"/>
          </w:tcPr>
          <w:p w14:paraId="3A694D6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nil"/>
              <w:left w:val="nil"/>
              <w:bottom w:val="nil"/>
              <w:right w:val="single" w:color="000000" w:sz="4" w:space="0"/>
            </w:tcBorders>
            <w:shd w:val="clear" w:color="auto" w:fill="auto"/>
            <w:vAlign w:val="center"/>
          </w:tcPr>
          <w:p w14:paraId="4A65B92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389D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96A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4E72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一般公共服务支出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9F27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81,572,669.54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CA6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81,572,669.54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F038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33CA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0532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FCE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80BD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8421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6936E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39AB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2A7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政府办公厅（室）及相关机构事务</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9FC3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81,572,669.54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F31F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81,572,669.54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DB0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FB9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C8E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F2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0CF1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515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5B634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762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2010350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CDAD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事业运行</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7A4E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66,361,673.01</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F8EF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66,361,673.01</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68B2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A2D7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4E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4C5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857C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65C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49094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E79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2010399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D4D0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其他政府办公厅（室）及相关机构事务支出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B23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15,210,996.53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E9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15,210,996.53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9961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4D5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10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6573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CEF6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2F1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238FE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83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9D5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教育支出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4A6E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CA2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C5B2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AC70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CDF1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BA66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9F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E4D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352E7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374B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20508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68B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进修及培训</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BB0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BAE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F67C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075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ADE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A2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D0A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666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624D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CC75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2050803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8DA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培训支出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97E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2D11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1,000.00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8E2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26D8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02D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D9A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E9DC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A8D9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384F7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E83E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F7F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6E2B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487,145.48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5984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487,145.48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D01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EF39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3821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5B0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99B4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550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6E5F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13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83FE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498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464,983.88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434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464,983.88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518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870C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D1F6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25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C4E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7D78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0054D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A25A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81BC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事业单位离退休</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650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111,838.24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882F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111,838.24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2FFD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765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9CA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E79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16F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19E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742B0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9C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A1F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1C93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235,806.76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B3F7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235,806.76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6DB9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428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7E7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FC8D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0BCA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BB20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00C80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3FEB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BAC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CDB6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117,338.88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1DE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117,338.88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DD0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E7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A37F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F7B8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DD3D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05C6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3BE51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F3FA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136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抚恤</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87F1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22,161.60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CB2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22,161.60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38E9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F9A6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8721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BC99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E6DA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4D7F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47D13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A6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2080801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CE6A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死亡抚恤</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5BE8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22,161.60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585D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22,161.60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598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C7C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1B6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ADB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D9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19C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24128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2D4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C081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41FE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180,089.08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A52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180,089.08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DC39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F82E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636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2E89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E976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14F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412A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BAD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85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CA5C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180,089.08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E1D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180,089.08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9946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FA3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2C9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E7F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18F3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1E76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39CD2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8FC9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A15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CA86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146,674.08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DCA7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146,674.08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E5EB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5647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957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4AC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4615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2B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5E26A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4EE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E60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其他行政事业单位医疗支出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382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33,415.00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3B56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33,415.00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F28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34A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E1AB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51B1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5B06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B84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14:paraId="1AF02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14:paraId="716708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14:paraId="7AE262F6">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3424D747">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6"/>
        <w:gridCol w:w="853"/>
        <w:gridCol w:w="573"/>
        <w:gridCol w:w="627"/>
        <w:gridCol w:w="627"/>
        <w:gridCol w:w="600"/>
        <w:gridCol w:w="640"/>
        <w:gridCol w:w="666"/>
        <w:gridCol w:w="654"/>
        <w:gridCol w:w="671"/>
        <w:gridCol w:w="723"/>
        <w:gridCol w:w="723"/>
        <w:gridCol w:w="661"/>
        <w:gridCol w:w="708"/>
        <w:gridCol w:w="662"/>
        <w:gridCol w:w="753"/>
        <w:gridCol w:w="739"/>
        <w:gridCol w:w="708"/>
        <w:gridCol w:w="630"/>
        <w:gridCol w:w="619"/>
        <w:gridCol w:w="639"/>
      </w:tblGrid>
      <w:tr w14:paraId="6FD47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056" w:type="pct"/>
            <w:gridSpan w:val="9"/>
            <w:tcBorders>
              <w:top w:val="nil"/>
              <w:left w:val="nil"/>
              <w:bottom w:val="nil"/>
              <w:right w:val="nil"/>
            </w:tcBorders>
            <w:shd w:val="clear" w:color="auto" w:fill="auto"/>
            <w:noWrap/>
            <w:vAlign w:val="bottom"/>
          </w:tcPr>
          <w:p w14:paraId="022F2598">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部门（单位）：天津市西青区机关事务服务中心 </w:t>
            </w:r>
          </w:p>
        </w:tc>
        <w:tc>
          <w:tcPr>
            <w:tcW w:w="239" w:type="pct"/>
            <w:tcBorders>
              <w:top w:val="nil"/>
              <w:left w:val="nil"/>
              <w:bottom w:val="nil"/>
              <w:right w:val="nil"/>
            </w:tcBorders>
            <w:shd w:val="clear" w:color="auto" w:fill="auto"/>
            <w:noWrap/>
            <w:vAlign w:val="bottom"/>
          </w:tcPr>
          <w:p w14:paraId="0A991D67">
            <w:pPr>
              <w:rPr>
                <w:rFonts w:hint="eastAsia" w:asciiTheme="minorEastAsia" w:hAnsiTheme="minorEastAsia" w:eastAsiaTheme="minorEastAsia" w:cstheme="minorEastAsia"/>
                <w:b w:val="0"/>
                <w:bCs w:val="0"/>
                <w:i w:val="0"/>
                <w:iCs w:val="0"/>
                <w:color w:val="000000"/>
                <w:sz w:val="18"/>
                <w:szCs w:val="18"/>
                <w:u w:val="none"/>
              </w:rPr>
            </w:pPr>
          </w:p>
        </w:tc>
        <w:tc>
          <w:tcPr>
            <w:tcW w:w="258" w:type="pct"/>
            <w:tcBorders>
              <w:top w:val="nil"/>
              <w:left w:val="nil"/>
              <w:bottom w:val="nil"/>
              <w:right w:val="nil"/>
            </w:tcBorders>
            <w:shd w:val="clear" w:color="auto" w:fill="auto"/>
            <w:noWrap/>
            <w:vAlign w:val="bottom"/>
          </w:tcPr>
          <w:p w14:paraId="48894B13">
            <w:pPr>
              <w:rPr>
                <w:rFonts w:hint="eastAsia" w:asciiTheme="minorEastAsia" w:hAnsiTheme="minorEastAsia" w:eastAsiaTheme="minorEastAsia" w:cstheme="minorEastAsia"/>
                <w:b w:val="0"/>
                <w:bCs w:val="0"/>
                <w:i w:val="0"/>
                <w:iCs w:val="0"/>
                <w:color w:val="000000"/>
                <w:sz w:val="18"/>
                <w:szCs w:val="18"/>
                <w:u w:val="none"/>
              </w:rPr>
            </w:pPr>
          </w:p>
        </w:tc>
        <w:tc>
          <w:tcPr>
            <w:tcW w:w="258" w:type="pct"/>
            <w:tcBorders>
              <w:top w:val="nil"/>
              <w:left w:val="nil"/>
              <w:bottom w:val="nil"/>
              <w:right w:val="nil"/>
            </w:tcBorders>
            <w:shd w:val="clear" w:color="auto" w:fill="auto"/>
            <w:noWrap/>
            <w:vAlign w:val="bottom"/>
          </w:tcPr>
          <w:p w14:paraId="1465AD76">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14:paraId="60A5EDAC">
            <w:pP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nil"/>
              <w:left w:val="nil"/>
              <w:bottom w:val="nil"/>
              <w:right w:val="nil"/>
            </w:tcBorders>
            <w:shd w:val="clear" w:color="auto" w:fill="auto"/>
            <w:noWrap/>
            <w:vAlign w:val="bottom"/>
          </w:tcPr>
          <w:p w14:paraId="3EE459A1">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14:paraId="3DECA075">
            <w:pPr>
              <w:rPr>
                <w:rFonts w:hint="eastAsia" w:asciiTheme="minorEastAsia" w:hAnsiTheme="minorEastAsia" w:eastAsiaTheme="minorEastAsia" w:cstheme="minorEastAsia"/>
                <w:b w:val="0"/>
                <w:bCs w:val="0"/>
                <w:i w:val="0"/>
                <w:iCs w:val="0"/>
                <w:color w:val="000000"/>
                <w:sz w:val="18"/>
                <w:szCs w:val="18"/>
                <w:u w:val="none"/>
              </w:rPr>
            </w:pPr>
          </w:p>
        </w:tc>
        <w:tc>
          <w:tcPr>
            <w:tcW w:w="269" w:type="pct"/>
            <w:tcBorders>
              <w:top w:val="nil"/>
              <w:left w:val="nil"/>
              <w:bottom w:val="nil"/>
              <w:right w:val="nil"/>
            </w:tcBorders>
            <w:shd w:val="clear" w:color="auto" w:fill="auto"/>
            <w:noWrap/>
            <w:vAlign w:val="bottom"/>
          </w:tcPr>
          <w:p w14:paraId="6B8A02CE">
            <w:pPr>
              <w:rPr>
                <w:rFonts w:hint="eastAsia" w:asciiTheme="minorEastAsia" w:hAnsiTheme="minorEastAsia" w:eastAsiaTheme="minorEastAsia" w:cstheme="minorEastAsia"/>
                <w:b w:val="0"/>
                <w:bCs w:val="0"/>
                <w:i w:val="0"/>
                <w:iCs w:val="0"/>
                <w:color w:val="000000"/>
                <w:sz w:val="18"/>
                <w:szCs w:val="18"/>
                <w:u w:val="none"/>
              </w:rPr>
            </w:pPr>
          </w:p>
        </w:tc>
        <w:tc>
          <w:tcPr>
            <w:tcW w:w="264" w:type="pct"/>
            <w:tcBorders>
              <w:top w:val="nil"/>
              <w:left w:val="nil"/>
              <w:bottom w:val="nil"/>
              <w:right w:val="nil"/>
            </w:tcBorders>
            <w:shd w:val="clear" w:color="auto" w:fill="auto"/>
            <w:noWrap/>
            <w:vAlign w:val="bottom"/>
          </w:tcPr>
          <w:p w14:paraId="5F5FF8F0">
            <w:pPr>
              <w:rPr>
                <w:rFonts w:hint="eastAsia" w:asciiTheme="minorEastAsia" w:hAnsiTheme="minorEastAsia" w:eastAsiaTheme="minorEastAsia" w:cstheme="minorEastAsia"/>
                <w:b w:val="0"/>
                <w:bCs w:val="0"/>
                <w:i w:val="0"/>
                <w:iCs w:val="0"/>
                <w:color w:val="000000"/>
                <w:sz w:val="18"/>
                <w:szCs w:val="18"/>
                <w:u w:val="none"/>
              </w:rPr>
            </w:pPr>
          </w:p>
        </w:tc>
        <w:tc>
          <w:tcPr>
            <w:tcW w:w="253" w:type="pct"/>
            <w:tcBorders>
              <w:top w:val="nil"/>
              <w:left w:val="nil"/>
              <w:bottom w:val="nil"/>
              <w:right w:val="nil"/>
            </w:tcBorders>
            <w:shd w:val="clear" w:color="auto" w:fill="auto"/>
            <w:noWrap/>
            <w:vAlign w:val="bottom"/>
          </w:tcPr>
          <w:p w14:paraId="354F8E11">
            <w:pPr>
              <w:rPr>
                <w:rFonts w:hint="eastAsia" w:asciiTheme="minorEastAsia" w:hAnsiTheme="minorEastAsia" w:eastAsiaTheme="minorEastAsia" w:cstheme="minorEastAsia"/>
                <w:b w:val="0"/>
                <w:bCs w:val="0"/>
                <w:i w:val="0"/>
                <w:iCs w:val="0"/>
                <w:color w:val="000000"/>
                <w:sz w:val="18"/>
                <w:szCs w:val="18"/>
                <w:u w:val="none"/>
              </w:rPr>
            </w:pPr>
          </w:p>
        </w:tc>
        <w:tc>
          <w:tcPr>
            <w:tcW w:w="225" w:type="pct"/>
            <w:tcBorders>
              <w:top w:val="nil"/>
              <w:left w:val="nil"/>
              <w:bottom w:val="nil"/>
              <w:right w:val="nil"/>
            </w:tcBorders>
            <w:shd w:val="clear" w:color="auto" w:fill="auto"/>
            <w:noWrap/>
            <w:vAlign w:val="bottom"/>
          </w:tcPr>
          <w:p w14:paraId="74874964">
            <w:pPr>
              <w:rPr>
                <w:rFonts w:hint="eastAsia" w:asciiTheme="minorEastAsia" w:hAnsiTheme="minorEastAsia" w:eastAsiaTheme="minorEastAsia" w:cstheme="minorEastAsia"/>
                <w:b w:val="0"/>
                <w:bCs w:val="0"/>
                <w:i w:val="0"/>
                <w:iCs w:val="0"/>
                <w:color w:val="000000"/>
                <w:sz w:val="18"/>
                <w:szCs w:val="18"/>
                <w:u w:val="none"/>
              </w:rPr>
            </w:pPr>
          </w:p>
        </w:tc>
        <w:tc>
          <w:tcPr>
            <w:tcW w:w="449" w:type="pct"/>
            <w:gridSpan w:val="2"/>
            <w:tcBorders>
              <w:top w:val="nil"/>
              <w:left w:val="nil"/>
              <w:bottom w:val="nil"/>
              <w:right w:val="nil"/>
            </w:tcBorders>
            <w:shd w:val="clear" w:color="auto" w:fill="auto"/>
            <w:noWrap/>
            <w:vAlign w:val="bottom"/>
          </w:tcPr>
          <w:p w14:paraId="6A5B0A3C">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14:paraId="65EBD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9A7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304" w:type="pct"/>
            <w:vMerge w:val="restart"/>
            <w:tcBorders>
              <w:top w:val="single" w:color="000000" w:sz="4" w:space="0"/>
              <w:left w:val="nil"/>
              <w:bottom w:val="single" w:color="000000" w:sz="4" w:space="0"/>
              <w:right w:val="single" w:color="000000" w:sz="4" w:space="0"/>
            </w:tcBorders>
            <w:shd w:val="clear" w:color="auto" w:fill="auto"/>
            <w:vAlign w:val="center"/>
          </w:tcPr>
          <w:p w14:paraId="7F65A70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204" w:type="pct"/>
            <w:vMerge w:val="restart"/>
            <w:tcBorders>
              <w:top w:val="single" w:color="000000" w:sz="4" w:space="0"/>
              <w:left w:val="nil"/>
              <w:bottom w:val="single" w:color="000000" w:sz="4" w:space="0"/>
              <w:right w:val="single" w:color="000000" w:sz="4" w:space="0"/>
            </w:tcBorders>
            <w:shd w:val="clear" w:color="auto" w:fill="auto"/>
            <w:vAlign w:val="center"/>
          </w:tcPr>
          <w:p w14:paraId="74FB2C8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355" w:type="pct"/>
            <w:gridSpan w:val="10"/>
            <w:tcBorders>
              <w:top w:val="single" w:color="000000" w:sz="4" w:space="0"/>
              <w:left w:val="nil"/>
              <w:bottom w:val="single" w:color="000000" w:sz="4" w:space="0"/>
              <w:right w:val="single" w:color="000000" w:sz="4" w:space="0"/>
            </w:tcBorders>
            <w:shd w:val="clear" w:color="auto" w:fill="auto"/>
            <w:vAlign w:val="center"/>
          </w:tcPr>
          <w:p w14:paraId="24ECF9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1950" w:type="pct"/>
            <w:gridSpan w:val="8"/>
            <w:tcBorders>
              <w:top w:val="single" w:color="000000" w:sz="4" w:space="0"/>
              <w:left w:val="nil"/>
              <w:bottom w:val="single" w:color="000000" w:sz="4" w:space="0"/>
              <w:right w:val="single" w:color="000000" w:sz="4" w:space="0"/>
            </w:tcBorders>
            <w:shd w:val="clear" w:color="auto" w:fill="auto"/>
            <w:vAlign w:val="center"/>
          </w:tcPr>
          <w:p w14:paraId="36E276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14:paraId="1F8C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1B481">
            <w:pPr>
              <w:jc w:val="center"/>
              <w:rPr>
                <w:rFonts w:hint="eastAsia" w:asciiTheme="minorEastAsia" w:hAnsiTheme="minorEastAsia" w:eastAsiaTheme="minorEastAsia" w:cstheme="minorEastAsia"/>
                <w:b w:val="0"/>
                <w:bCs w:val="0"/>
                <w:i w:val="0"/>
                <w:iCs w:val="0"/>
                <w:color w:val="000000"/>
                <w:sz w:val="13"/>
                <w:szCs w:val="13"/>
                <w:u w:val="none"/>
              </w:rPr>
            </w:pPr>
          </w:p>
        </w:tc>
        <w:tc>
          <w:tcPr>
            <w:tcW w:w="304" w:type="pct"/>
            <w:vMerge w:val="continue"/>
            <w:tcBorders>
              <w:top w:val="single" w:color="000000" w:sz="4" w:space="0"/>
              <w:left w:val="nil"/>
              <w:bottom w:val="single" w:color="000000" w:sz="4" w:space="0"/>
              <w:right w:val="single" w:color="000000" w:sz="4" w:space="0"/>
            </w:tcBorders>
            <w:shd w:val="clear" w:color="auto" w:fill="auto"/>
            <w:vAlign w:val="center"/>
          </w:tcPr>
          <w:p w14:paraId="37D1220F">
            <w:pPr>
              <w:jc w:val="center"/>
              <w:rPr>
                <w:rFonts w:hint="eastAsia" w:asciiTheme="minorEastAsia" w:hAnsiTheme="minorEastAsia" w:eastAsiaTheme="minorEastAsia" w:cstheme="minorEastAsia"/>
                <w:b w:val="0"/>
                <w:bCs w:val="0"/>
                <w:i w:val="0"/>
                <w:iCs w:val="0"/>
                <w:color w:val="000000"/>
                <w:sz w:val="13"/>
                <w:szCs w:val="13"/>
                <w:u w:val="none"/>
              </w:rPr>
            </w:pPr>
          </w:p>
        </w:tc>
        <w:tc>
          <w:tcPr>
            <w:tcW w:w="204" w:type="pct"/>
            <w:vMerge w:val="continue"/>
            <w:tcBorders>
              <w:top w:val="single" w:color="000000" w:sz="4" w:space="0"/>
              <w:left w:val="nil"/>
              <w:bottom w:val="single" w:color="000000" w:sz="4" w:space="0"/>
              <w:right w:val="single" w:color="000000" w:sz="4" w:space="0"/>
            </w:tcBorders>
            <w:shd w:val="clear" w:color="auto" w:fill="auto"/>
            <w:vAlign w:val="center"/>
          </w:tcPr>
          <w:p w14:paraId="4EB78DA5">
            <w:pPr>
              <w:jc w:val="center"/>
              <w:rPr>
                <w:rFonts w:hint="eastAsia" w:asciiTheme="minorEastAsia" w:hAnsiTheme="minorEastAsia" w:eastAsiaTheme="minorEastAsia" w:cstheme="minorEastAsia"/>
                <w:b w:val="0"/>
                <w:bCs w:val="0"/>
                <w:i w:val="0"/>
                <w:iCs w:val="0"/>
                <w:color w:val="000000"/>
                <w:sz w:val="13"/>
                <w:szCs w:val="13"/>
                <w:u w:val="none"/>
              </w:rPr>
            </w:pPr>
          </w:p>
        </w:tc>
        <w:tc>
          <w:tcPr>
            <w:tcW w:w="224" w:type="pct"/>
            <w:vMerge w:val="restart"/>
            <w:tcBorders>
              <w:top w:val="nil"/>
              <w:left w:val="nil"/>
              <w:bottom w:val="single" w:color="000000" w:sz="4" w:space="0"/>
              <w:right w:val="single" w:color="000000" w:sz="4" w:space="0"/>
            </w:tcBorders>
            <w:shd w:val="clear" w:color="auto" w:fill="auto"/>
            <w:vAlign w:val="center"/>
          </w:tcPr>
          <w:p w14:paraId="686F6D2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4" w:type="pct"/>
            <w:vMerge w:val="restart"/>
            <w:tcBorders>
              <w:top w:val="nil"/>
              <w:left w:val="nil"/>
              <w:bottom w:val="single" w:color="000000" w:sz="4" w:space="0"/>
              <w:right w:val="single" w:color="000000" w:sz="4" w:space="0"/>
            </w:tcBorders>
            <w:shd w:val="clear" w:color="auto" w:fill="auto"/>
            <w:vAlign w:val="center"/>
          </w:tcPr>
          <w:p w14:paraId="2918B58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14" w:type="pct"/>
            <w:vMerge w:val="restart"/>
            <w:tcBorders>
              <w:top w:val="nil"/>
              <w:left w:val="nil"/>
              <w:bottom w:val="single" w:color="000000" w:sz="4" w:space="0"/>
              <w:right w:val="single" w:color="000000" w:sz="4" w:space="0"/>
            </w:tcBorders>
            <w:shd w:val="clear" w:color="auto" w:fill="auto"/>
            <w:vAlign w:val="center"/>
          </w:tcPr>
          <w:p w14:paraId="16E8C1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28" w:type="pct"/>
            <w:vMerge w:val="restart"/>
            <w:tcBorders>
              <w:top w:val="nil"/>
              <w:left w:val="nil"/>
              <w:bottom w:val="single" w:color="000000" w:sz="4" w:space="0"/>
              <w:right w:val="single" w:color="000000" w:sz="4" w:space="0"/>
            </w:tcBorders>
            <w:shd w:val="clear" w:color="auto" w:fill="auto"/>
            <w:vAlign w:val="center"/>
          </w:tcPr>
          <w:p w14:paraId="52F2B0C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国有资本经营预算算</w:t>
            </w:r>
          </w:p>
        </w:tc>
        <w:tc>
          <w:tcPr>
            <w:tcW w:w="237" w:type="pct"/>
            <w:vMerge w:val="restart"/>
            <w:tcBorders>
              <w:top w:val="nil"/>
              <w:left w:val="nil"/>
              <w:bottom w:val="single" w:color="000000" w:sz="4" w:space="0"/>
              <w:right w:val="single" w:color="000000" w:sz="4" w:space="0"/>
            </w:tcBorders>
            <w:shd w:val="clear" w:color="auto" w:fill="auto"/>
            <w:vAlign w:val="center"/>
          </w:tcPr>
          <w:p w14:paraId="06D0646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33" w:type="pct"/>
            <w:vMerge w:val="restart"/>
            <w:tcBorders>
              <w:top w:val="nil"/>
              <w:left w:val="nil"/>
              <w:bottom w:val="single" w:color="000000" w:sz="4" w:space="0"/>
              <w:right w:val="single" w:color="000000" w:sz="4" w:space="0"/>
            </w:tcBorders>
            <w:shd w:val="clear" w:color="auto" w:fill="auto"/>
            <w:vAlign w:val="center"/>
          </w:tcPr>
          <w:p w14:paraId="6F4ECFD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239" w:type="pct"/>
            <w:vMerge w:val="restart"/>
            <w:tcBorders>
              <w:top w:val="nil"/>
              <w:left w:val="nil"/>
              <w:bottom w:val="single" w:color="000000" w:sz="4" w:space="0"/>
              <w:right w:val="single" w:color="000000" w:sz="4" w:space="0"/>
            </w:tcBorders>
            <w:shd w:val="clear" w:color="auto" w:fill="auto"/>
            <w:vAlign w:val="center"/>
          </w:tcPr>
          <w:p w14:paraId="2F2A474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258" w:type="pct"/>
            <w:vMerge w:val="restart"/>
            <w:tcBorders>
              <w:top w:val="nil"/>
              <w:left w:val="nil"/>
              <w:bottom w:val="single" w:color="000000" w:sz="4" w:space="0"/>
              <w:right w:val="single" w:color="000000" w:sz="4" w:space="0"/>
            </w:tcBorders>
            <w:shd w:val="clear" w:color="auto" w:fill="auto"/>
            <w:vAlign w:val="center"/>
          </w:tcPr>
          <w:p w14:paraId="21A1A05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258" w:type="pct"/>
            <w:vMerge w:val="restart"/>
            <w:tcBorders>
              <w:top w:val="nil"/>
              <w:left w:val="nil"/>
              <w:bottom w:val="single" w:color="000000" w:sz="4" w:space="0"/>
              <w:right w:val="single" w:color="000000" w:sz="4" w:space="0"/>
            </w:tcBorders>
            <w:shd w:val="clear" w:color="auto" w:fill="auto"/>
            <w:vAlign w:val="center"/>
          </w:tcPr>
          <w:p w14:paraId="196994C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236" w:type="pct"/>
            <w:vMerge w:val="restart"/>
            <w:tcBorders>
              <w:top w:val="nil"/>
              <w:left w:val="nil"/>
              <w:bottom w:val="single" w:color="000000" w:sz="4" w:space="0"/>
              <w:right w:val="single" w:color="000000" w:sz="4" w:space="0"/>
            </w:tcBorders>
            <w:shd w:val="clear" w:color="auto" w:fill="auto"/>
            <w:vAlign w:val="center"/>
          </w:tcPr>
          <w:p w14:paraId="4269B2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253" w:type="pct"/>
            <w:vMerge w:val="restart"/>
            <w:tcBorders>
              <w:top w:val="nil"/>
              <w:left w:val="nil"/>
              <w:bottom w:val="single" w:color="000000" w:sz="4" w:space="0"/>
              <w:right w:val="single" w:color="000000" w:sz="4" w:space="0"/>
            </w:tcBorders>
            <w:shd w:val="clear" w:color="auto" w:fill="auto"/>
            <w:vAlign w:val="center"/>
          </w:tcPr>
          <w:p w14:paraId="110987B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1022" w:type="pct"/>
            <w:gridSpan w:val="4"/>
            <w:tcBorders>
              <w:top w:val="nil"/>
              <w:left w:val="nil"/>
              <w:bottom w:val="single" w:color="000000" w:sz="4" w:space="0"/>
              <w:right w:val="single" w:color="000000" w:sz="4" w:space="0"/>
            </w:tcBorders>
            <w:shd w:val="clear" w:color="auto" w:fill="auto"/>
            <w:vAlign w:val="center"/>
          </w:tcPr>
          <w:p w14:paraId="31D6DD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674" w:type="pct"/>
            <w:gridSpan w:val="3"/>
            <w:tcBorders>
              <w:top w:val="nil"/>
              <w:left w:val="nil"/>
              <w:bottom w:val="single" w:color="000000" w:sz="4" w:space="0"/>
              <w:right w:val="single" w:color="000000" w:sz="4" w:space="0"/>
            </w:tcBorders>
            <w:shd w:val="clear" w:color="auto" w:fill="auto"/>
            <w:vAlign w:val="center"/>
          </w:tcPr>
          <w:p w14:paraId="6A59D97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14:paraId="423D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CB072">
            <w:pPr>
              <w:jc w:val="center"/>
              <w:rPr>
                <w:rFonts w:hint="eastAsia" w:asciiTheme="minorEastAsia" w:hAnsiTheme="minorEastAsia" w:eastAsiaTheme="minorEastAsia" w:cstheme="minorEastAsia"/>
                <w:b w:val="0"/>
                <w:bCs w:val="0"/>
                <w:i w:val="0"/>
                <w:iCs w:val="0"/>
                <w:color w:val="000000"/>
                <w:sz w:val="13"/>
                <w:szCs w:val="13"/>
                <w:u w:val="none"/>
              </w:rPr>
            </w:pPr>
          </w:p>
        </w:tc>
        <w:tc>
          <w:tcPr>
            <w:tcW w:w="304" w:type="pct"/>
            <w:vMerge w:val="continue"/>
            <w:tcBorders>
              <w:top w:val="single" w:color="000000" w:sz="4" w:space="0"/>
              <w:left w:val="nil"/>
              <w:bottom w:val="single" w:color="000000" w:sz="4" w:space="0"/>
              <w:right w:val="single" w:color="000000" w:sz="4" w:space="0"/>
            </w:tcBorders>
            <w:shd w:val="clear" w:color="auto" w:fill="auto"/>
            <w:vAlign w:val="center"/>
          </w:tcPr>
          <w:p w14:paraId="488D157E">
            <w:pPr>
              <w:jc w:val="center"/>
              <w:rPr>
                <w:rFonts w:hint="eastAsia" w:asciiTheme="minorEastAsia" w:hAnsiTheme="minorEastAsia" w:eastAsiaTheme="minorEastAsia" w:cstheme="minorEastAsia"/>
                <w:b w:val="0"/>
                <w:bCs w:val="0"/>
                <w:i w:val="0"/>
                <w:iCs w:val="0"/>
                <w:color w:val="000000"/>
                <w:sz w:val="13"/>
                <w:szCs w:val="13"/>
                <w:u w:val="none"/>
              </w:rPr>
            </w:pPr>
          </w:p>
        </w:tc>
        <w:tc>
          <w:tcPr>
            <w:tcW w:w="204" w:type="pct"/>
            <w:vMerge w:val="continue"/>
            <w:tcBorders>
              <w:top w:val="single" w:color="000000" w:sz="4" w:space="0"/>
              <w:left w:val="nil"/>
              <w:bottom w:val="single" w:color="000000" w:sz="4" w:space="0"/>
              <w:right w:val="single" w:color="000000" w:sz="4" w:space="0"/>
            </w:tcBorders>
            <w:shd w:val="clear" w:color="auto" w:fill="auto"/>
            <w:vAlign w:val="center"/>
          </w:tcPr>
          <w:p w14:paraId="1BE9F1D5">
            <w:pPr>
              <w:jc w:val="center"/>
              <w:rPr>
                <w:rFonts w:hint="eastAsia" w:asciiTheme="minorEastAsia" w:hAnsiTheme="minorEastAsia" w:eastAsiaTheme="minorEastAsia" w:cstheme="minorEastAsia"/>
                <w:b w:val="0"/>
                <w:bCs w:val="0"/>
                <w:i w:val="0"/>
                <w:iCs w:val="0"/>
                <w:color w:val="000000"/>
                <w:sz w:val="13"/>
                <w:szCs w:val="13"/>
                <w:u w:val="none"/>
              </w:rPr>
            </w:pPr>
          </w:p>
        </w:tc>
        <w:tc>
          <w:tcPr>
            <w:tcW w:w="224" w:type="pct"/>
            <w:vMerge w:val="continue"/>
            <w:tcBorders>
              <w:top w:val="nil"/>
              <w:left w:val="nil"/>
              <w:bottom w:val="single" w:color="000000" w:sz="4" w:space="0"/>
              <w:right w:val="single" w:color="000000" w:sz="4" w:space="0"/>
            </w:tcBorders>
            <w:shd w:val="clear" w:color="auto" w:fill="auto"/>
            <w:vAlign w:val="center"/>
          </w:tcPr>
          <w:p w14:paraId="7CE18931">
            <w:pPr>
              <w:jc w:val="center"/>
              <w:rPr>
                <w:rFonts w:hint="eastAsia" w:asciiTheme="minorEastAsia" w:hAnsiTheme="minorEastAsia" w:eastAsiaTheme="minorEastAsia" w:cstheme="minorEastAsia"/>
                <w:b w:val="0"/>
                <w:bCs w:val="0"/>
                <w:i w:val="0"/>
                <w:iCs w:val="0"/>
                <w:color w:val="000000"/>
                <w:sz w:val="13"/>
                <w:szCs w:val="13"/>
                <w:u w:val="none"/>
              </w:rPr>
            </w:pPr>
          </w:p>
        </w:tc>
        <w:tc>
          <w:tcPr>
            <w:tcW w:w="224" w:type="pct"/>
            <w:vMerge w:val="continue"/>
            <w:tcBorders>
              <w:top w:val="nil"/>
              <w:left w:val="nil"/>
              <w:bottom w:val="single" w:color="000000" w:sz="4" w:space="0"/>
              <w:right w:val="single" w:color="000000" w:sz="4" w:space="0"/>
            </w:tcBorders>
            <w:shd w:val="clear" w:color="auto" w:fill="auto"/>
            <w:vAlign w:val="center"/>
          </w:tcPr>
          <w:p w14:paraId="182E2F1A">
            <w:pPr>
              <w:jc w:val="center"/>
              <w:rPr>
                <w:rFonts w:hint="eastAsia" w:asciiTheme="minorEastAsia" w:hAnsiTheme="minorEastAsia" w:eastAsiaTheme="minorEastAsia" w:cstheme="minorEastAsia"/>
                <w:b w:val="0"/>
                <w:bCs w:val="0"/>
                <w:i w:val="0"/>
                <w:iCs w:val="0"/>
                <w:color w:val="000000"/>
                <w:sz w:val="13"/>
                <w:szCs w:val="13"/>
                <w:u w:val="none"/>
              </w:rPr>
            </w:pPr>
          </w:p>
        </w:tc>
        <w:tc>
          <w:tcPr>
            <w:tcW w:w="214" w:type="pct"/>
            <w:vMerge w:val="continue"/>
            <w:tcBorders>
              <w:top w:val="nil"/>
              <w:left w:val="nil"/>
              <w:bottom w:val="single" w:color="000000" w:sz="4" w:space="0"/>
              <w:right w:val="single" w:color="000000" w:sz="4" w:space="0"/>
            </w:tcBorders>
            <w:shd w:val="clear" w:color="auto" w:fill="auto"/>
            <w:vAlign w:val="center"/>
          </w:tcPr>
          <w:p w14:paraId="4C57805A">
            <w:pPr>
              <w:jc w:val="center"/>
              <w:rPr>
                <w:rFonts w:hint="eastAsia" w:asciiTheme="minorEastAsia" w:hAnsiTheme="minorEastAsia" w:eastAsiaTheme="minorEastAsia" w:cstheme="minorEastAsia"/>
                <w:b w:val="0"/>
                <w:bCs w:val="0"/>
                <w:i w:val="0"/>
                <w:iCs w:val="0"/>
                <w:color w:val="000000"/>
                <w:sz w:val="13"/>
                <w:szCs w:val="13"/>
                <w:u w:val="none"/>
              </w:rPr>
            </w:pPr>
          </w:p>
        </w:tc>
        <w:tc>
          <w:tcPr>
            <w:tcW w:w="228" w:type="pct"/>
            <w:vMerge w:val="continue"/>
            <w:tcBorders>
              <w:top w:val="nil"/>
              <w:left w:val="nil"/>
              <w:bottom w:val="single" w:color="000000" w:sz="4" w:space="0"/>
              <w:right w:val="single" w:color="000000" w:sz="4" w:space="0"/>
            </w:tcBorders>
            <w:shd w:val="clear" w:color="auto" w:fill="auto"/>
            <w:vAlign w:val="center"/>
          </w:tcPr>
          <w:p w14:paraId="2D901196">
            <w:pPr>
              <w:jc w:val="center"/>
              <w:rPr>
                <w:rFonts w:hint="eastAsia" w:asciiTheme="minorEastAsia" w:hAnsiTheme="minorEastAsia" w:eastAsiaTheme="minorEastAsia" w:cstheme="minorEastAsia"/>
                <w:b w:val="0"/>
                <w:bCs w:val="0"/>
                <w:i w:val="0"/>
                <w:iCs w:val="0"/>
                <w:color w:val="000000"/>
                <w:sz w:val="13"/>
                <w:szCs w:val="13"/>
                <w:u w:val="none"/>
              </w:rPr>
            </w:pPr>
          </w:p>
        </w:tc>
        <w:tc>
          <w:tcPr>
            <w:tcW w:w="237" w:type="pct"/>
            <w:vMerge w:val="continue"/>
            <w:tcBorders>
              <w:top w:val="nil"/>
              <w:left w:val="nil"/>
              <w:bottom w:val="single" w:color="000000" w:sz="4" w:space="0"/>
              <w:right w:val="single" w:color="000000" w:sz="4" w:space="0"/>
            </w:tcBorders>
            <w:shd w:val="clear" w:color="auto" w:fill="auto"/>
            <w:vAlign w:val="center"/>
          </w:tcPr>
          <w:p w14:paraId="560488C6">
            <w:pPr>
              <w:jc w:val="center"/>
              <w:rPr>
                <w:rFonts w:hint="eastAsia" w:asciiTheme="minorEastAsia" w:hAnsiTheme="minorEastAsia" w:eastAsiaTheme="minorEastAsia" w:cstheme="minorEastAsia"/>
                <w:b w:val="0"/>
                <w:bCs w:val="0"/>
                <w:i w:val="0"/>
                <w:iCs w:val="0"/>
                <w:color w:val="000000"/>
                <w:sz w:val="13"/>
                <w:szCs w:val="13"/>
                <w:u w:val="none"/>
              </w:rPr>
            </w:pPr>
          </w:p>
        </w:tc>
        <w:tc>
          <w:tcPr>
            <w:tcW w:w="233" w:type="pct"/>
            <w:vMerge w:val="continue"/>
            <w:tcBorders>
              <w:top w:val="nil"/>
              <w:left w:val="nil"/>
              <w:bottom w:val="single" w:color="000000" w:sz="4" w:space="0"/>
              <w:right w:val="single" w:color="000000" w:sz="4" w:space="0"/>
            </w:tcBorders>
            <w:shd w:val="clear" w:color="auto" w:fill="auto"/>
            <w:vAlign w:val="center"/>
          </w:tcPr>
          <w:p w14:paraId="334C83D2">
            <w:pPr>
              <w:jc w:val="center"/>
              <w:rPr>
                <w:rFonts w:hint="eastAsia" w:asciiTheme="minorEastAsia" w:hAnsiTheme="minorEastAsia" w:eastAsiaTheme="minorEastAsia" w:cstheme="minorEastAsia"/>
                <w:b w:val="0"/>
                <w:bCs w:val="0"/>
                <w:i w:val="0"/>
                <w:iCs w:val="0"/>
                <w:color w:val="000000"/>
                <w:sz w:val="13"/>
                <w:szCs w:val="13"/>
                <w:u w:val="none"/>
              </w:rPr>
            </w:pPr>
          </w:p>
        </w:tc>
        <w:tc>
          <w:tcPr>
            <w:tcW w:w="239" w:type="pct"/>
            <w:vMerge w:val="continue"/>
            <w:tcBorders>
              <w:top w:val="nil"/>
              <w:left w:val="nil"/>
              <w:bottom w:val="single" w:color="000000" w:sz="4" w:space="0"/>
              <w:right w:val="single" w:color="000000" w:sz="4" w:space="0"/>
            </w:tcBorders>
            <w:shd w:val="clear" w:color="auto" w:fill="auto"/>
            <w:vAlign w:val="center"/>
          </w:tcPr>
          <w:p w14:paraId="4D48B07B">
            <w:pPr>
              <w:jc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14:paraId="167E7AC2">
            <w:pPr>
              <w:jc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vMerge w:val="continue"/>
            <w:tcBorders>
              <w:top w:val="nil"/>
              <w:left w:val="nil"/>
              <w:bottom w:val="single" w:color="000000" w:sz="4" w:space="0"/>
              <w:right w:val="single" w:color="000000" w:sz="4" w:space="0"/>
            </w:tcBorders>
            <w:shd w:val="clear" w:color="auto" w:fill="auto"/>
            <w:vAlign w:val="center"/>
          </w:tcPr>
          <w:p w14:paraId="34E2BA8F">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14:paraId="26505123">
            <w:pPr>
              <w:jc w:val="center"/>
              <w:rPr>
                <w:rFonts w:hint="eastAsia" w:asciiTheme="minorEastAsia" w:hAnsiTheme="minorEastAsia" w:eastAsiaTheme="minorEastAsia" w:cstheme="minorEastAsia"/>
                <w:b w:val="0"/>
                <w:bCs w:val="0"/>
                <w:i w:val="0"/>
                <w:iCs w:val="0"/>
                <w:color w:val="000000"/>
                <w:sz w:val="13"/>
                <w:szCs w:val="13"/>
                <w:u w:val="none"/>
              </w:rPr>
            </w:pPr>
          </w:p>
        </w:tc>
        <w:tc>
          <w:tcPr>
            <w:tcW w:w="253" w:type="pct"/>
            <w:vMerge w:val="continue"/>
            <w:tcBorders>
              <w:top w:val="nil"/>
              <w:left w:val="nil"/>
              <w:bottom w:val="single" w:color="000000" w:sz="4" w:space="0"/>
              <w:right w:val="single" w:color="000000" w:sz="4" w:space="0"/>
            </w:tcBorders>
            <w:shd w:val="clear" w:color="auto" w:fill="auto"/>
            <w:vAlign w:val="center"/>
          </w:tcPr>
          <w:p w14:paraId="323DDFAD">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tcBorders>
              <w:top w:val="nil"/>
              <w:left w:val="nil"/>
              <w:bottom w:val="single" w:color="000000" w:sz="4" w:space="0"/>
              <w:right w:val="single" w:color="000000" w:sz="4" w:space="0"/>
            </w:tcBorders>
            <w:shd w:val="clear" w:color="auto" w:fill="auto"/>
            <w:vAlign w:val="center"/>
          </w:tcPr>
          <w:p w14:paraId="7C39A00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69" w:type="pct"/>
            <w:tcBorders>
              <w:top w:val="nil"/>
              <w:left w:val="nil"/>
              <w:bottom w:val="single" w:color="000000" w:sz="4" w:space="0"/>
              <w:right w:val="single" w:color="000000" w:sz="4" w:space="0"/>
            </w:tcBorders>
            <w:shd w:val="clear" w:color="auto" w:fill="auto"/>
            <w:vAlign w:val="center"/>
          </w:tcPr>
          <w:p w14:paraId="3C4A7E7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64" w:type="pct"/>
            <w:tcBorders>
              <w:top w:val="nil"/>
              <w:left w:val="nil"/>
              <w:bottom w:val="single" w:color="000000" w:sz="4" w:space="0"/>
              <w:right w:val="single" w:color="000000" w:sz="4" w:space="0"/>
            </w:tcBorders>
            <w:shd w:val="clear" w:color="auto" w:fill="auto"/>
            <w:vAlign w:val="center"/>
          </w:tcPr>
          <w:p w14:paraId="6F3547F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53" w:type="pct"/>
            <w:tcBorders>
              <w:top w:val="nil"/>
              <w:left w:val="nil"/>
              <w:bottom w:val="single" w:color="000000" w:sz="4" w:space="0"/>
              <w:right w:val="single" w:color="000000" w:sz="4" w:space="0"/>
            </w:tcBorders>
            <w:shd w:val="clear" w:color="auto" w:fill="auto"/>
            <w:vAlign w:val="center"/>
          </w:tcPr>
          <w:p w14:paraId="46D07F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25" w:type="pct"/>
            <w:tcBorders>
              <w:top w:val="nil"/>
              <w:left w:val="nil"/>
              <w:bottom w:val="single" w:color="000000" w:sz="4" w:space="0"/>
              <w:right w:val="single" w:color="000000" w:sz="4" w:space="0"/>
            </w:tcBorders>
            <w:shd w:val="clear" w:color="auto" w:fill="auto"/>
            <w:vAlign w:val="center"/>
          </w:tcPr>
          <w:p w14:paraId="0681AA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1" w:type="pct"/>
            <w:tcBorders>
              <w:top w:val="nil"/>
              <w:left w:val="nil"/>
              <w:bottom w:val="single" w:color="000000" w:sz="4" w:space="0"/>
              <w:right w:val="single" w:color="000000" w:sz="4" w:space="0"/>
            </w:tcBorders>
            <w:shd w:val="clear" w:color="auto" w:fill="auto"/>
            <w:vAlign w:val="center"/>
          </w:tcPr>
          <w:p w14:paraId="11826C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14:paraId="6C7456E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14:paraId="762DA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gridSpan w:val="2"/>
            <w:tcBorders>
              <w:top w:val="nil"/>
              <w:left w:val="single" w:color="000000" w:sz="4" w:space="0"/>
              <w:bottom w:val="single" w:color="000000" w:sz="4" w:space="0"/>
              <w:right w:val="single" w:color="000000" w:sz="4" w:space="0"/>
            </w:tcBorders>
            <w:shd w:val="clear" w:color="auto" w:fill="auto"/>
            <w:noWrap/>
            <w:vAlign w:val="center"/>
          </w:tcPr>
          <w:p w14:paraId="49588C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04" w:type="pct"/>
            <w:tcBorders>
              <w:top w:val="nil"/>
              <w:left w:val="nil"/>
              <w:bottom w:val="single" w:color="000000" w:sz="4" w:space="0"/>
              <w:right w:val="single" w:color="000000" w:sz="4" w:space="0"/>
            </w:tcBorders>
            <w:shd w:val="clear" w:color="auto" w:fill="auto"/>
            <w:noWrap/>
            <w:vAlign w:val="center"/>
          </w:tcPr>
          <w:p w14:paraId="1EFBE5B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4" w:type="pct"/>
            <w:tcBorders>
              <w:top w:val="nil"/>
              <w:left w:val="nil"/>
              <w:bottom w:val="single" w:color="000000" w:sz="4" w:space="0"/>
              <w:right w:val="single" w:color="000000" w:sz="4" w:space="0"/>
            </w:tcBorders>
            <w:shd w:val="clear" w:color="auto" w:fill="auto"/>
            <w:noWrap/>
            <w:vAlign w:val="center"/>
          </w:tcPr>
          <w:p w14:paraId="5895901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4" w:type="pct"/>
            <w:tcBorders>
              <w:top w:val="nil"/>
              <w:left w:val="nil"/>
              <w:bottom w:val="single" w:color="000000" w:sz="4" w:space="0"/>
              <w:right w:val="single" w:color="000000" w:sz="4" w:space="0"/>
            </w:tcBorders>
            <w:shd w:val="clear" w:color="auto" w:fill="auto"/>
            <w:noWrap/>
            <w:vAlign w:val="center"/>
          </w:tcPr>
          <w:p w14:paraId="71F0037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14" w:type="pct"/>
            <w:tcBorders>
              <w:top w:val="nil"/>
              <w:left w:val="nil"/>
              <w:bottom w:val="single" w:color="000000" w:sz="4" w:space="0"/>
              <w:right w:val="single" w:color="000000" w:sz="4" w:space="0"/>
            </w:tcBorders>
            <w:shd w:val="clear" w:color="auto" w:fill="auto"/>
            <w:noWrap/>
            <w:vAlign w:val="center"/>
          </w:tcPr>
          <w:p w14:paraId="3FEECE0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28" w:type="pct"/>
            <w:tcBorders>
              <w:top w:val="nil"/>
              <w:left w:val="nil"/>
              <w:bottom w:val="single" w:color="000000" w:sz="4" w:space="0"/>
              <w:right w:val="single" w:color="000000" w:sz="4" w:space="0"/>
            </w:tcBorders>
            <w:shd w:val="clear" w:color="auto" w:fill="auto"/>
            <w:noWrap/>
            <w:vAlign w:val="center"/>
          </w:tcPr>
          <w:p w14:paraId="73775D6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37" w:type="pct"/>
            <w:tcBorders>
              <w:top w:val="nil"/>
              <w:left w:val="nil"/>
              <w:bottom w:val="single" w:color="000000" w:sz="4" w:space="0"/>
              <w:right w:val="single" w:color="000000" w:sz="4" w:space="0"/>
            </w:tcBorders>
            <w:shd w:val="clear" w:color="auto" w:fill="auto"/>
            <w:noWrap/>
            <w:vAlign w:val="center"/>
          </w:tcPr>
          <w:p w14:paraId="2011CFA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3" w:type="pct"/>
            <w:tcBorders>
              <w:top w:val="nil"/>
              <w:left w:val="nil"/>
              <w:bottom w:val="single" w:color="000000" w:sz="4" w:space="0"/>
              <w:right w:val="single" w:color="000000" w:sz="4" w:space="0"/>
            </w:tcBorders>
            <w:shd w:val="clear" w:color="auto" w:fill="auto"/>
            <w:noWrap/>
            <w:vAlign w:val="center"/>
          </w:tcPr>
          <w:p w14:paraId="1B3AC17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9" w:type="pct"/>
            <w:tcBorders>
              <w:top w:val="nil"/>
              <w:left w:val="nil"/>
              <w:bottom w:val="single" w:color="000000" w:sz="4" w:space="0"/>
              <w:right w:val="single" w:color="000000" w:sz="4" w:space="0"/>
            </w:tcBorders>
            <w:shd w:val="clear" w:color="auto" w:fill="auto"/>
            <w:noWrap/>
            <w:vAlign w:val="center"/>
          </w:tcPr>
          <w:p w14:paraId="1329979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tcBorders>
              <w:top w:val="nil"/>
              <w:left w:val="nil"/>
              <w:bottom w:val="single" w:color="000000" w:sz="4" w:space="0"/>
              <w:right w:val="single" w:color="000000" w:sz="4" w:space="0"/>
            </w:tcBorders>
            <w:shd w:val="clear" w:color="auto" w:fill="auto"/>
            <w:noWrap/>
            <w:vAlign w:val="center"/>
          </w:tcPr>
          <w:p w14:paraId="61FC54F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tcBorders>
              <w:top w:val="nil"/>
              <w:left w:val="nil"/>
              <w:bottom w:val="single" w:color="000000" w:sz="4" w:space="0"/>
              <w:right w:val="single" w:color="000000" w:sz="4" w:space="0"/>
            </w:tcBorders>
            <w:shd w:val="clear" w:color="auto" w:fill="auto"/>
            <w:noWrap/>
            <w:vAlign w:val="center"/>
          </w:tcPr>
          <w:p w14:paraId="0CAE42B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tcBorders>
              <w:top w:val="nil"/>
              <w:left w:val="nil"/>
              <w:bottom w:val="single" w:color="000000" w:sz="4" w:space="0"/>
              <w:right w:val="single" w:color="000000" w:sz="4" w:space="0"/>
            </w:tcBorders>
            <w:shd w:val="clear" w:color="auto" w:fill="auto"/>
            <w:noWrap/>
            <w:vAlign w:val="center"/>
          </w:tcPr>
          <w:p w14:paraId="0CAC0A3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3" w:type="pct"/>
            <w:tcBorders>
              <w:top w:val="nil"/>
              <w:left w:val="nil"/>
              <w:bottom w:val="single" w:color="000000" w:sz="4" w:space="0"/>
              <w:right w:val="single" w:color="000000" w:sz="4" w:space="0"/>
            </w:tcBorders>
            <w:shd w:val="clear" w:color="auto" w:fill="auto"/>
            <w:noWrap/>
            <w:vAlign w:val="center"/>
          </w:tcPr>
          <w:p w14:paraId="4C1227F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tcBorders>
              <w:top w:val="nil"/>
              <w:left w:val="nil"/>
              <w:bottom w:val="single" w:color="000000" w:sz="4" w:space="0"/>
              <w:right w:val="single" w:color="000000" w:sz="4" w:space="0"/>
            </w:tcBorders>
            <w:shd w:val="clear" w:color="auto" w:fill="auto"/>
            <w:noWrap/>
            <w:vAlign w:val="center"/>
          </w:tcPr>
          <w:p w14:paraId="01468C4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69" w:type="pct"/>
            <w:tcBorders>
              <w:top w:val="nil"/>
              <w:left w:val="nil"/>
              <w:bottom w:val="single" w:color="000000" w:sz="4" w:space="0"/>
              <w:right w:val="single" w:color="000000" w:sz="4" w:space="0"/>
            </w:tcBorders>
            <w:shd w:val="clear" w:color="auto" w:fill="auto"/>
            <w:noWrap/>
            <w:vAlign w:val="center"/>
          </w:tcPr>
          <w:p w14:paraId="1CE528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64" w:type="pct"/>
            <w:tcBorders>
              <w:top w:val="nil"/>
              <w:left w:val="nil"/>
              <w:bottom w:val="single" w:color="000000" w:sz="4" w:space="0"/>
              <w:right w:val="single" w:color="000000" w:sz="4" w:space="0"/>
            </w:tcBorders>
            <w:shd w:val="clear" w:color="auto" w:fill="auto"/>
            <w:noWrap/>
            <w:vAlign w:val="center"/>
          </w:tcPr>
          <w:p w14:paraId="2938550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3" w:type="pct"/>
            <w:tcBorders>
              <w:top w:val="nil"/>
              <w:left w:val="nil"/>
              <w:bottom w:val="single" w:color="000000" w:sz="4" w:space="0"/>
              <w:right w:val="single" w:color="000000" w:sz="4" w:space="0"/>
            </w:tcBorders>
            <w:shd w:val="clear" w:color="auto" w:fill="auto"/>
            <w:noWrap/>
            <w:vAlign w:val="center"/>
          </w:tcPr>
          <w:p w14:paraId="359A4A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5" w:type="pct"/>
            <w:tcBorders>
              <w:top w:val="nil"/>
              <w:left w:val="nil"/>
              <w:bottom w:val="single" w:color="000000" w:sz="4" w:space="0"/>
              <w:right w:val="single" w:color="000000" w:sz="4" w:space="0"/>
            </w:tcBorders>
            <w:shd w:val="clear" w:color="auto" w:fill="auto"/>
            <w:noWrap/>
            <w:vAlign w:val="center"/>
          </w:tcPr>
          <w:p w14:paraId="2BC9F54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1" w:type="pct"/>
            <w:tcBorders>
              <w:top w:val="nil"/>
              <w:left w:val="nil"/>
              <w:bottom w:val="single" w:color="000000" w:sz="4" w:space="0"/>
              <w:right w:val="single" w:color="000000" w:sz="4" w:space="0"/>
            </w:tcBorders>
            <w:shd w:val="clear" w:color="auto" w:fill="auto"/>
            <w:noWrap/>
            <w:vAlign w:val="center"/>
          </w:tcPr>
          <w:p w14:paraId="1F6BBC0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8" w:type="pct"/>
            <w:tcBorders>
              <w:top w:val="nil"/>
              <w:left w:val="nil"/>
              <w:bottom w:val="single" w:color="000000" w:sz="4" w:space="0"/>
              <w:right w:val="single" w:color="000000" w:sz="4" w:space="0"/>
            </w:tcBorders>
            <w:shd w:val="clear" w:color="auto" w:fill="auto"/>
            <w:noWrap/>
            <w:vAlign w:val="center"/>
          </w:tcPr>
          <w:p w14:paraId="180BB7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r>
      <w:tr w14:paraId="50E93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978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340201</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2D6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天津市西青区机关事务服务中心</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B18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570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E68B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82,240,904.10</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0C1B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658F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32C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C288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022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77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285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C83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656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556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3AD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343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14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B63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936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B95D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3"/>
                <w:szCs w:val="13"/>
                <w:u w:val="none"/>
              </w:rPr>
            </w:pPr>
          </w:p>
        </w:tc>
      </w:tr>
      <w:tr w14:paraId="0FA75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21"/>
            <w:tcBorders>
              <w:top w:val="nil"/>
              <w:left w:val="nil"/>
              <w:bottom w:val="nil"/>
              <w:right w:val="nil"/>
            </w:tcBorders>
            <w:shd w:val="clear" w:color="auto" w:fill="auto"/>
            <w:noWrap/>
            <w:vAlign w:val="center"/>
          </w:tcPr>
          <w:p w14:paraId="3423D1C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14:paraId="1338AB61">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5F55FC76">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5"/>
        <w:gridCol w:w="2548"/>
        <w:gridCol w:w="1845"/>
        <w:gridCol w:w="1800"/>
        <w:gridCol w:w="1800"/>
        <w:gridCol w:w="1815"/>
        <w:gridCol w:w="1628"/>
        <w:gridCol w:w="1589"/>
      </w:tblGrid>
      <w:tr w14:paraId="3C261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14:paraId="1C645CB5">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568" w:type="pct"/>
            <w:tcBorders>
              <w:top w:val="nil"/>
              <w:left w:val="nil"/>
              <w:bottom w:val="nil"/>
              <w:right w:val="nil"/>
            </w:tcBorders>
            <w:shd w:val="clear" w:color="auto" w:fill="auto"/>
            <w:noWrap/>
            <w:vAlign w:val="bottom"/>
          </w:tcPr>
          <w:p w14:paraId="26EB1C81">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00668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5DF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14:paraId="2F2672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671582A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725471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14:paraId="5754290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14:paraId="7C8ABC1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8" w:type="pct"/>
            <w:vMerge w:val="restart"/>
            <w:tcBorders>
              <w:top w:val="single" w:color="000000" w:sz="4" w:space="0"/>
              <w:left w:val="nil"/>
              <w:bottom w:val="single" w:color="000000" w:sz="4" w:space="0"/>
              <w:right w:val="single" w:color="000000" w:sz="4" w:space="0"/>
            </w:tcBorders>
            <w:shd w:val="clear" w:color="auto" w:fill="auto"/>
            <w:noWrap/>
            <w:vAlign w:val="center"/>
          </w:tcPr>
          <w:p w14:paraId="0E2C0E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14:paraId="3A01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nil"/>
              <w:left w:val="single" w:color="000000" w:sz="4" w:space="0"/>
              <w:bottom w:val="nil"/>
              <w:right w:val="single" w:color="000000" w:sz="4" w:space="0"/>
            </w:tcBorders>
            <w:shd w:val="clear" w:color="auto" w:fill="auto"/>
            <w:noWrap/>
            <w:vAlign w:val="center"/>
          </w:tcPr>
          <w:p w14:paraId="55CA39C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910" w:type="pct"/>
            <w:tcBorders>
              <w:top w:val="nil"/>
              <w:left w:val="nil"/>
              <w:bottom w:val="nil"/>
              <w:right w:val="single" w:color="000000" w:sz="4" w:space="0"/>
            </w:tcBorders>
            <w:shd w:val="clear" w:color="auto" w:fill="auto"/>
            <w:noWrap/>
            <w:vAlign w:val="center"/>
          </w:tcPr>
          <w:p w14:paraId="7CC06DF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5EBE99F">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3550E1B">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A1E5650">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B0BB815">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13D71B6">
            <w:pPr>
              <w:jc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F15273D">
            <w:pPr>
              <w:jc w:val="center"/>
              <w:rPr>
                <w:rFonts w:hint="eastAsia" w:asciiTheme="minorEastAsia" w:hAnsiTheme="minorEastAsia" w:eastAsiaTheme="minorEastAsia" w:cstheme="minorEastAsia"/>
                <w:b w:val="0"/>
                <w:bCs w:val="0"/>
                <w:i w:val="0"/>
                <w:iCs w:val="0"/>
                <w:color w:val="000000"/>
                <w:sz w:val="22"/>
                <w:szCs w:val="22"/>
                <w:u w:val="none"/>
              </w:rPr>
            </w:pPr>
          </w:p>
        </w:tc>
      </w:tr>
      <w:tr w14:paraId="1ADA1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6B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E003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7A7C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66,989,645.97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3963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15,251,258.13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018B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5B4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1554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99FC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B6EA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E4E8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A038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81,572,669.54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4E0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66,343,573.01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489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7478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BA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423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653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794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A76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1146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81,572,669.54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E81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66,343,573.01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0CA9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F40E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AB6E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16B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62E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AE5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2010350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437B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E0F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66,361,673.01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4B2C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66,343,573.01</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324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18,100.00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956A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0170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CCF4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01C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08A1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E2B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其他政府办公厅（室）及相关机构事务支出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6BE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15,210,996.53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D8C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C91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15,210,996.53</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DC3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B9A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C6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021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EB0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7D2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教育支出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43F1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A42C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B4A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911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091A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5CBC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ED37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F0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241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进修及培训</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E92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FB8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37E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909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648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D9E6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2960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BCD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2050803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BE9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培训支出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C643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735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BA0B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8A8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9C3A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931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6F0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E19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07D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1DC5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487,145.48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8913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464,983.88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45C7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0EF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7B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C241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63F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69F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A01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53A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464,983.88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7B4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464,983.88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80F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07E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5366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833A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159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D3D3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C2B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事业单位离退休</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5C1B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111,838.24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D98E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111,838.24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205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0AC2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BF0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69B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47E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F4F8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05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84E5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235,806.76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02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235,806.76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0915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E3BA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D7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18C1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E086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B10B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3E3C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8AE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117,338.88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E44F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117,338.88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AF32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A98C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121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562D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3F59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60E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A82C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8630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E2D6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6E6C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7F6A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ED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41B0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687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D61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35A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7D62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5DDC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687D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08A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FBAB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595A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0444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9BA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9279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6A33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9FD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528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76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6ABE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481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D00C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34CE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727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2C08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7C14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89B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3672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82A2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AB0D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FF8F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C47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B944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2A2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146,674.08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61C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146,674.08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B2C1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1EE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E7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894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9B3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4C6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03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其他行政事业单位医疗支出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5600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33,415.00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70A7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33,415.00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60A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21C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557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AEF5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F8B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08B574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14:paraId="453D4ACA">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53D3AA2A">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14:paraId="52693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14:paraId="2FDEE64C">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705" w:type="pct"/>
            <w:tcBorders>
              <w:top w:val="nil"/>
              <w:left w:val="nil"/>
              <w:bottom w:val="nil"/>
              <w:right w:val="nil"/>
            </w:tcBorders>
            <w:shd w:val="clear" w:color="auto" w:fill="auto"/>
            <w:noWrap/>
            <w:vAlign w:val="bottom"/>
          </w:tcPr>
          <w:p w14:paraId="255C2F63">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7106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E93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14:paraId="6896779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14:paraId="7BC96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2E52C0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14:paraId="4EF6CF7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14:paraId="2113DD7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14:paraId="6BA3C98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14:paraId="2BB3B09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14:paraId="264FAB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14:paraId="628B304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14:paraId="27155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CDD72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32E1441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839" w:type="pct"/>
            <w:tcBorders>
              <w:top w:val="nil"/>
              <w:left w:val="nil"/>
              <w:bottom w:val="single" w:color="000000" w:sz="4" w:space="0"/>
              <w:right w:val="single" w:color="000000" w:sz="4" w:space="0"/>
            </w:tcBorders>
            <w:shd w:val="clear" w:color="auto" w:fill="auto"/>
            <w:noWrap/>
            <w:vAlign w:val="center"/>
          </w:tcPr>
          <w:p w14:paraId="22A3BF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14:paraId="3E03B9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81,572,669.54</w:t>
            </w:r>
          </w:p>
        </w:tc>
        <w:tc>
          <w:tcPr>
            <w:tcW w:w="640" w:type="pct"/>
            <w:tcBorders>
              <w:top w:val="nil"/>
              <w:left w:val="nil"/>
              <w:bottom w:val="single" w:color="000000" w:sz="4" w:space="0"/>
              <w:right w:val="single" w:color="000000" w:sz="4" w:space="0"/>
            </w:tcBorders>
            <w:shd w:val="clear" w:color="auto" w:fill="auto"/>
            <w:noWrap/>
            <w:vAlign w:val="center"/>
          </w:tcPr>
          <w:p w14:paraId="6A807E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81,572,669.54</w:t>
            </w:r>
          </w:p>
        </w:tc>
        <w:tc>
          <w:tcPr>
            <w:tcW w:w="652" w:type="pct"/>
            <w:tcBorders>
              <w:top w:val="nil"/>
              <w:left w:val="nil"/>
              <w:bottom w:val="single" w:color="000000" w:sz="4" w:space="0"/>
              <w:right w:val="single" w:color="000000" w:sz="4" w:space="0"/>
            </w:tcBorders>
            <w:shd w:val="clear" w:color="auto" w:fill="auto"/>
            <w:noWrap/>
            <w:vAlign w:val="center"/>
          </w:tcPr>
          <w:p w14:paraId="1C54D06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BC5F2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45D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EF56A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437A61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79475A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14:paraId="16FF604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9E7C7A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1B0825B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0978E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555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6760D4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378360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5C27B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14:paraId="6E42A2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40" w:type="pct"/>
            <w:tcBorders>
              <w:top w:val="nil"/>
              <w:left w:val="nil"/>
              <w:bottom w:val="single" w:color="000000" w:sz="4" w:space="0"/>
              <w:right w:val="single" w:color="000000" w:sz="4" w:space="0"/>
            </w:tcBorders>
            <w:shd w:val="clear" w:color="auto" w:fill="auto"/>
            <w:noWrap/>
            <w:vAlign w:val="center"/>
          </w:tcPr>
          <w:p w14:paraId="58369DE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w:t>
            </w:r>
          </w:p>
        </w:tc>
        <w:tc>
          <w:tcPr>
            <w:tcW w:w="652" w:type="pct"/>
            <w:tcBorders>
              <w:top w:val="nil"/>
              <w:left w:val="nil"/>
              <w:bottom w:val="single" w:color="000000" w:sz="4" w:space="0"/>
              <w:right w:val="single" w:color="000000" w:sz="4" w:space="0"/>
            </w:tcBorders>
            <w:shd w:val="clear" w:color="auto" w:fill="auto"/>
            <w:noWrap/>
            <w:vAlign w:val="center"/>
          </w:tcPr>
          <w:p w14:paraId="0C734F2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8F4A2B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8778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36852CE">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88110D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F37043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14:paraId="21BDC7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0292E98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8CAA2B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03624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DD9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F91E729">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2FB7E18C">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198F77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14:paraId="3A7E0A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89EAF2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F055EA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A9818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C73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C6CC6D1">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B1EE06E">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CCDEA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14:paraId="2D6B425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487,145.48</w:t>
            </w:r>
          </w:p>
        </w:tc>
        <w:tc>
          <w:tcPr>
            <w:tcW w:w="640" w:type="pct"/>
            <w:tcBorders>
              <w:top w:val="nil"/>
              <w:left w:val="nil"/>
              <w:bottom w:val="single" w:color="000000" w:sz="4" w:space="0"/>
              <w:right w:val="single" w:color="000000" w:sz="4" w:space="0"/>
            </w:tcBorders>
            <w:shd w:val="clear" w:color="auto" w:fill="auto"/>
            <w:noWrap/>
            <w:vAlign w:val="center"/>
          </w:tcPr>
          <w:p w14:paraId="5F0CF56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487,145.48</w:t>
            </w:r>
          </w:p>
        </w:tc>
        <w:tc>
          <w:tcPr>
            <w:tcW w:w="652" w:type="pct"/>
            <w:tcBorders>
              <w:top w:val="nil"/>
              <w:left w:val="nil"/>
              <w:bottom w:val="single" w:color="000000" w:sz="4" w:space="0"/>
              <w:right w:val="single" w:color="000000" w:sz="4" w:space="0"/>
            </w:tcBorders>
            <w:shd w:val="clear" w:color="auto" w:fill="auto"/>
            <w:noWrap/>
            <w:vAlign w:val="center"/>
          </w:tcPr>
          <w:p w14:paraId="5885EB8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F6853A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CEBC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0A79B0F">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3737F46C">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DAD7C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14:paraId="464378E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40" w:type="pct"/>
            <w:tcBorders>
              <w:top w:val="nil"/>
              <w:left w:val="nil"/>
              <w:bottom w:val="single" w:color="000000" w:sz="4" w:space="0"/>
              <w:right w:val="single" w:color="000000" w:sz="4" w:space="0"/>
            </w:tcBorders>
            <w:shd w:val="clear" w:color="auto" w:fill="auto"/>
            <w:noWrap/>
            <w:vAlign w:val="center"/>
          </w:tcPr>
          <w:p w14:paraId="758013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180,089.08</w:t>
            </w:r>
          </w:p>
        </w:tc>
        <w:tc>
          <w:tcPr>
            <w:tcW w:w="652" w:type="pct"/>
            <w:tcBorders>
              <w:top w:val="nil"/>
              <w:left w:val="nil"/>
              <w:bottom w:val="single" w:color="000000" w:sz="4" w:space="0"/>
              <w:right w:val="single" w:color="000000" w:sz="4" w:space="0"/>
            </w:tcBorders>
            <w:shd w:val="clear" w:color="auto" w:fill="auto"/>
            <w:noWrap/>
            <w:vAlign w:val="center"/>
          </w:tcPr>
          <w:p w14:paraId="7DC56C7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E4F2F8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E15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C8E5999">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E4168E0">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2D504F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14:paraId="1FD24DF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D8CBF3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2552AD6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A12A0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46D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A099AA5">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6EDAB5B0">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3DEE08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14:paraId="2D7AF1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49B208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58B33AE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508A53F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A02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E17DE3A">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5B50B31B">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F1264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14:paraId="3BCBC9F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05E691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C88898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0D3A1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B6F0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A674404">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44AD200F">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D3AD5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14:paraId="1FBA194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8D0116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114771E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7468E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61A2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4AFFEDF">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EFB901E">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BC43B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14:paraId="7F077A8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AF1618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2FD7D5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9CF36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A1CE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36F98DE">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1F3D5D3">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64B3F9E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14:paraId="0F3B84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C7561F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B3F0F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D1AD05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B87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03D5A22">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426C6E02">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D4FC4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14:paraId="51AFD9C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00B5AE6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7138FF6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2D43667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E86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8977BDB">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06BD885">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306F95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14:paraId="4C0C534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1C3738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5AE5E5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868741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120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623386B">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099972E6">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3CCAE2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14:paraId="032DAA0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69837A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1D7E93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393BAF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0B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94A88C9">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63A74E0">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338A84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14:paraId="2BB4EC3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01D222C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DA7A58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2DA287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1C4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C62DE04">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41540F8D">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7147FCE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14:paraId="5925B1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F57C90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36A14CC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C26776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EC41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2F72A29">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11146BD7">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311DD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14:paraId="4B899D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65D0F19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59BF48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3B85BEC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9599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CDE4860">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9D46C08">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AAD57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14:paraId="34BE45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CDC8B7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71A74BC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2B0486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C631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7A23951">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32ADCD94">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4BFC9C4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14:paraId="298B240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B8461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633349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2ED058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B2C0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3374CA3">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2B27892F">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209BA52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14:paraId="52F7684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FB520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5279D65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3C287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2B3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8D14910">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14:paraId="7C1D0B6E">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EFF863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14:paraId="11C78EB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51883B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4AF22E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63832F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623E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A23B3B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14:paraId="351DDA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839" w:type="pct"/>
            <w:tcBorders>
              <w:top w:val="nil"/>
              <w:left w:val="nil"/>
              <w:bottom w:val="single" w:color="000000" w:sz="4" w:space="0"/>
              <w:right w:val="single" w:color="000000" w:sz="4" w:space="0"/>
            </w:tcBorders>
            <w:shd w:val="clear" w:color="auto" w:fill="auto"/>
            <w:noWrap/>
            <w:vAlign w:val="center"/>
          </w:tcPr>
          <w:p w14:paraId="770FA0C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14:paraId="7486C21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640" w:type="pct"/>
            <w:tcBorders>
              <w:top w:val="nil"/>
              <w:left w:val="nil"/>
              <w:bottom w:val="single" w:color="000000" w:sz="4" w:space="0"/>
              <w:right w:val="single" w:color="000000" w:sz="4" w:space="0"/>
            </w:tcBorders>
            <w:shd w:val="clear" w:color="auto" w:fill="auto"/>
            <w:noWrap/>
            <w:vAlign w:val="center"/>
          </w:tcPr>
          <w:p w14:paraId="3341C1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652" w:type="pct"/>
            <w:tcBorders>
              <w:top w:val="nil"/>
              <w:left w:val="nil"/>
              <w:bottom w:val="single" w:color="000000" w:sz="4" w:space="0"/>
              <w:right w:val="single" w:color="000000" w:sz="4" w:space="0"/>
            </w:tcBorders>
            <w:shd w:val="clear" w:color="auto" w:fill="auto"/>
            <w:noWrap/>
            <w:vAlign w:val="center"/>
          </w:tcPr>
          <w:p w14:paraId="44C5834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8BD45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1CB4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5C4A8E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14:paraId="2777492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0F940D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14:paraId="7B0837B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5D40A63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197F4B9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014F6F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422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5E2153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1277029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03E21724">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3138E52B">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AB23F04">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5A15FCA8">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6EFD9904">
            <w:pPr>
              <w:jc w:val="left"/>
              <w:rPr>
                <w:rFonts w:hint="eastAsia" w:asciiTheme="minorEastAsia" w:hAnsiTheme="minorEastAsia" w:eastAsiaTheme="minorEastAsia" w:cstheme="minorEastAsia"/>
                <w:b w:val="0"/>
                <w:bCs w:val="0"/>
                <w:i w:val="0"/>
                <w:iCs w:val="0"/>
                <w:color w:val="000000"/>
                <w:sz w:val="22"/>
                <w:szCs w:val="22"/>
                <w:u w:val="none"/>
              </w:rPr>
            </w:pPr>
          </w:p>
        </w:tc>
      </w:tr>
      <w:tr w14:paraId="5F4E5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6AE19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2B67BF6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1FA38D1D">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5796311C">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21F167B4">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3F52D7B9">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7AA25560">
            <w:pPr>
              <w:jc w:val="left"/>
              <w:rPr>
                <w:rFonts w:hint="eastAsia" w:asciiTheme="minorEastAsia" w:hAnsiTheme="minorEastAsia" w:eastAsiaTheme="minorEastAsia" w:cstheme="minorEastAsia"/>
                <w:b w:val="0"/>
                <w:bCs w:val="0"/>
                <w:i w:val="0"/>
                <w:iCs w:val="0"/>
                <w:color w:val="000000"/>
                <w:sz w:val="22"/>
                <w:szCs w:val="22"/>
                <w:u w:val="none"/>
              </w:rPr>
            </w:pPr>
          </w:p>
        </w:tc>
      </w:tr>
      <w:tr w14:paraId="4FF3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5F4EB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29A464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14:paraId="35883033">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14:paraId="2E419554">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14:paraId="1FE3435D">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14:paraId="0C9B6099">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11CC249D">
            <w:pPr>
              <w:jc w:val="left"/>
              <w:rPr>
                <w:rFonts w:hint="eastAsia" w:asciiTheme="minorEastAsia" w:hAnsiTheme="minorEastAsia" w:eastAsiaTheme="minorEastAsia" w:cstheme="minorEastAsia"/>
                <w:b w:val="0"/>
                <w:bCs w:val="0"/>
                <w:i w:val="0"/>
                <w:iCs w:val="0"/>
                <w:color w:val="000000"/>
                <w:sz w:val="22"/>
                <w:szCs w:val="22"/>
                <w:u w:val="none"/>
              </w:rPr>
            </w:pPr>
          </w:p>
        </w:tc>
      </w:tr>
      <w:tr w14:paraId="5C1DF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3AB80D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14:paraId="605650C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839" w:type="pct"/>
            <w:tcBorders>
              <w:top w:val="nil"/>
              <w:left w:val="nil"/>
              <w:bottom w:val="single" w:color="000000" w:sz="4" w:space="0"/>
              <w:right w:val="single" w:color="000000" w:sz="4" w:space="0"/>
            </w:tcBorders>
            <w:shd w:val="clear" w:color="auto" w:fill="auto"/>
            <w:noWrap/>
            <w:vAlign w:val="center"/>
          </w:tcPr>
          <w:p w14:paraId="3150EB3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14:paraId="4F1B389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640" w:type="pct"/>
            <w:tcBorders>
              <w:top w:val="nil"/>
              <w:left w:val="nil"/>
              <w:bottom w:val="single" w:color="000000" w:sz="4" w:space="0"/>
              <w:right w:val="single" w:color="000000" w:sz="4" w:space="0"/>
            </w:tcBorders>
            <w:shd w:val="clear" w:color="auto" w:fill="auto"/>
            <w:noWrap/>
            <w:vAlign w:val="center"/>
          </w:tcPr>
          <w:p w14:paraId="4E681DF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82,240,904.10</w:t>
            </w:r>
          </w:p>
        </w:tc>
        <w:tc>
          <w:tcPr>
            <w:tcW w:w="652" w:type="pct"/>
            <w:tcBorders>
              <w:top w:val="nil"/>
              <w:left w:val="nil"/>
              <w:bottom w:val="single" w:color="000000" w:sz="4" w:space="0"/>
              <w:right w:val="single" w:color="000000" w:sz="4" w:space="0"/>
            </w:tcBorders>
            <w:shd w:val="clear" w:color="auto" w:fill="auto"/>
            <w:noWrap/>
            <w:vAlign w:val="center"/>
          </w:tcPr>
          <w:p w14:paraId="578CE1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14:paraId="4922EAE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3603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14:paraId="3AF530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14:paraId="2F63B13C">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4544F719">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六、一般公共预算财政拨款支出决算表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3"/>
        <w:gridCol w:w="4523"/>
        <w:gridCol w:w="1754"/>
        <w:gridCol w:w="1600"/>
        <w:gridCol w:w="1630"/>
        <w:gridCol w:w="1600"/>
        <w:gridCol w:w="1612"/>
      </w:tblGrid>
      <w:tr w14:paraId="643E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23" w:type="pct"/>
            <w:gridSpan w:val="6"/>
            <w:tcBorders>
              <w:top w:val="nil"/>
              <w:left w:val="nil"/>
              <w:bottom w:val="nil"/>
              <w:right w:val="nil"/>
            </w:tcBorders>
            <w:shd w:val="clear" w:color="auto" w:fill="auto"/>
            <w:noWrap/>
            <w:vAlign w:val="bottom"/>
          </w:tcPr>
          <w:p w14:paraId="17A683F5">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天津市西青区机关事务服务中心 </w:t>
            </w:r>
          </w:p>
        </w:tc>
        <w:tc>
          <w:tcPr>
            <w:tcW w:w="576" w:type="pct"/>
            <w:tcBorders>
              <w:top w:val="nil"/>
              <w:left w:val="nil"/>
              <w:bottom w:val="nil"/>
              <w:right w:val="nil"/>
            </w:tcBorders>
            <w:shd w:val="clear" w:color="auto" w:fill="auto"/>
            <w:noWrap/>
            <w:vAlign w:val="bottom"/>
          </w:tcPr>
          <w:p w14:paraId="35B1425D">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14:paraId="39D85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0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09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w:t>
            </w:r>
          </w:p>
        </w:tc>
        <w:tc>
          <w:tcPr>
            <w:tcW w:w="626" w:type="pct"/>
            <w:vMerge w:val="restart"/>
            <w:tcBorders>
              <w:top w:val="single" w:color="000000" w:sz="4" w:space="0"/>
              <w:left w:val="nil"/>
              <w:bottom w:val="single" w:color="000000" w:sz="4" w:space="0"/>
              <w:right w:val="single" w:color="000000" w:sz="4" w:space="0"/>
            </w:tcBorders>
            <w:shd w:val="clear" w:color="auto" w:fill="auto"/>
            <w:noWrap/>
            <w:vAlign w:val="center"/>
          </w:tcPr>
          <w:p w14:paraId="06928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25" w:type="pct"/>
            <w:gridSpan w:val="3"/>
            <w:tcBorders>
              <w:top w:val="single" w:color="000000" w:sz="4" w:space="0"/>
              <w:left w:val="nil"/>
              <w:bottom w:val="single" w:color="000000" w:sz="4" w:space="0"/>
              <w:right w:val="single" w:color="000000" w:sz="4" w:space="0"/>
            </w:tcBorders>
            <w:shd w:val="clear" w:color="auto" w:fill="auto"/>
            <w:noWrap/>
            <w:vAlign w:val="center"/>
          </w:tcPr>
          <w:p w14:paraId="05AC5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基本支出  </w:t>
            </w:r>
          </w:p>
        </w:tc>
        <w:tc>
          <w:tcPr>
            <w:tcW w:w="576" w:type="pct"/>
            <w:vMerge w:val="restart"/>
            <w:tcBorders>
              <w:top w:val="single" w:color="000000" w:sz="4" w:space="0"/>
              <w:left w:val="nil"/>
              <w:bottom w:val="single" w:color="000000" w:sz="4" w:space="0"/>
              <w:right w:val="single" w:color="000000" w:sz="4" w:space="0"/>
            </w:tcBorders>
            <w:shd w:val="clear" w:color="auto" w:fill="auto"/>
            <w:noWrap/>
            <w:vAlign w:val="center"/>
          </w:tcPr>
          <w:p w14:paraId="64453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2478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4" w:type="pct"/>
            <w:tcBorders>
              <w:top w:val="nil"/>
              <w:left w:val="single" w:color="000000" w:sz="4" w:space="0"/>
              <w:bottom w:val="nil"/>
              <w:right w:val="single" w:color="000000" w:sz="4" w:space="0"/>
            </w:tcBorders>
            <w:shd w:val="clear" w:color="auto" w:fill="auto"/>
            <w:noWrap/>
            <w:vAlign w:val="center"/>
          </w:tcPr>
          <w:p w14:paraId="5512A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616" w:type="pct"/>
            <w:tcBorders>
              <w:top w:val="nil"/>
              <w:left w:val="nil"/>
              <w:bottom w:val="nil"/>
              <w:right w:val="single" w:color="000000" w:sz="4" w:space="0"/>
            </w:tcBorders>
            <w:shd w:val="clear" w:color="auto" w:fill="auto"/>
            <w:noWrap/>
            <w:vAlign w:val="center"/>
          </w:tcPr>
          <w:p w14:paraId="736658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62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A64D1DB">
            <w:pPr>
              <w:jc w:val="center"/>
              <w:rPr>
                <w:rFonts w:hint="eastAsia" w:ascii="宋体" w:hAnsi="宋体" w:eastAsia="宋体" w:cs="宋体"/>
                <w:i w:val="0"/>
                <w:iCs w:val="0"/>
                <w:color w:val="000000"/>
                <w:sz w:val="22"/>
                <w:szCs w:val="22"/>
                <w:u w:val="none"/>
              </w:rPr>
            </w:pPr>
          </w:p>
        </w:tc>
        <w:tc>
          <w:tcPr>
            <w:tcW w:w="571" w:type="pct"/>
            <w:tcBorders>
              <w:top w:val="nil"/>
              <w:left w:val="nil"/>
              <w:bottom w:val="nil"/>
              <w:right w:val="single" w:color="000000" w:sz="4" w:space="0"/>
            </w:tcBorders>
            <w:shd w:val="clear" w:color="auto" w:fill="auto"/>
            <w:noWrap/>
            <w:vAlign w:val="center"/>
          </w:tcPr>
          <w:p w14:paraId="6C87AE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82" w:type="pct"/>
            <w:tcBorders>
              <w:top w:val="nil"/>
              <w:left w:val="nil"/>
              <w:bottom w:val="nil"/>
              <w:right w:val="single" w:color="000000" w:sz="4" w:space="0"/>
            </w:tcBorders>
            <w:shd w:val="clear" w:color="auto" w:fill="auto"/>
            <w:noWrap/>
            <w:vAlign w:val="center"/>
          </w:tcPr>
          <w:p w14:paraId="47F10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571" w:type="pct"/>
            <w:tcBorders>
              <w:top w:val="nil"/>
              <w:left w:val="nil"/>
              <w:bottom w:val="nil"/>
              <w:right w:val="single" w:color="000000" w:sz="4" w:space="0"/>
            </w:tcBorders>
            <w:shd w:val="clear" w:color="auto" w:fill="auto"/>
            <w:noWrap/>
            <w:vAlign w:val="center"/>
          </w:tcPr>
          <w:p w14:paraId="10F0F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c>
          <w:tcPr>
            <w:tcW w:w="57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E9D0C86">
            <w:pPr>
              <w:jc w:val="center"/>
              <w:rPr>
                <w:rFonts w:hint="eastAsia" w:ascii="宋体" w:hAnsi="宋体" w:eastAsia="宋体" w:cs="宋体"/>
                <w:i w:val="0"/>
                <w:iCs w:val="0"/>
                <w:color w:val="000000"/>
                <w:sz w:val="22"/>
                <w:szCs w:val="22"/>
                <w:u w:val="none"/>
              </w:rPr>
            </w:pPr>
          </w:p>
        </w:tc>
      </w:tr>
      <w:tr w14:paraId="3197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0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9F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07D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66,989,645.97</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7E2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3,525,541.79</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2F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63,464,104.18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7CD4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15,251,258.13</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F1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14:paraId="594CA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3CFD5">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0C74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一般公共服务支出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8492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81,572,669.54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108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66,343,573.01</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351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288.05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3696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63,463,104.18</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A058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15,229,096.53</w:t>
            </w:r>
          </w:p>
        </w:tc>
      </w:tr>
      <w:tr w14:paraId="7EAB6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761E3">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20103</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283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政府办公厅（室）及相关机构事务</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D0FE">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81,572,669.54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8EC7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66,343,573.01</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8E70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288.05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DE2B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63,463,104.18</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570E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15,229,096.53</w:t>
            </w:r>
          </w:p>
        </w:tc>
      </w:tr>
      <w:tr w14:paraId="3E9B3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542B4">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2010350</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A444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事业运行</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D93D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66,361,673.01</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4D2F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66,343,573.01</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0DE6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288.05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B0DF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63,463,104.18</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CFF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18,100.00</w:t>
            </w:r>
          </w:p>
        </w:tc>
      </w:tr>
      <w:tr w14:paraId="7BDF3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9E314">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2010399</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CF2B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其他政府办公厅（室）及相关机构事务支出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4312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15,210,996.53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9AE7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A7F8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692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167B">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15,210,996.53</w:t>
            </w:r>
          </w:p>
        </w:tc>
      </w:tr>
      <w:tr w14:paraId="0E6F1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E982">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205</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06F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教育支出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A7FFE">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084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555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9581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0A51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05D80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B24A">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20508</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89F1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进修及培训</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44FD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E3EC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A790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4A7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5EEAE">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6AC1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5CE93">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2050803</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7518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培训支出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2F38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DFE6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EDBD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B4E2">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1,000.00</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16D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749E0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895DB">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335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社会保障和就业支出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360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487,145.48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5708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464,983.88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496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46.50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15815">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E46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22,161.60</w:t>
            </w:r>
          </w:p>
        </w:tc>
      </w:tr>
      <w:tr w14:paraId="044D6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E35F4">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20805</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E43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行政事业单位养老支出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5E7F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464,983.88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329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464,983.88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6B73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46.50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5B9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96DE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5F9DB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FAA61">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2080502</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56A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事业单位离退休</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4676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111,838.24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727F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111,838.24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E8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BF26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304D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7978E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A8EB7">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2080505</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8822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机关事业单位基本养老保险缴费支出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1C9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235,806.76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D77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235,806.76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D334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23.58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E405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2962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52A7B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613B4">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2080506</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E741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机关事业单位职业年金缴费支出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9F3D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117,338.88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06D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117,338.88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1F07">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A1F6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AAF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79A5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6AAF1">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20808</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9EA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抚恤</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97D6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22,161.60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D95B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7204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F9DEB">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1599">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22,161.60</w:t>
            </w:r>
          </w:p>
        </w:tc>
      </w:tr>
      <w:tr w14:paraId="4270C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85B26">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2080801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479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死亡抚恤</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42F7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22,161.60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E049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168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1D9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B941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22,161.60</w:t>
            </w:r>
          </w:p>
        </w:tc>
      </w:tr>
      <w:tr w14:paraId="112D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3C89F">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210</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F38B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卫生健康支出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C07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180,089.08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3C9F0">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180,089.08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8674A">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18.01</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21F8">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5D994">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366E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25D02">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21011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CC9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行政事业单位医疗</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02CE3">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180,089.08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DBB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180,089.08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A16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18.01</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83EA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E9F0B">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4CD55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0A7F8">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2101102</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DBF9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事业单位医疗</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3949F">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146,674.08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EFD9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146,674.08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4446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14.67</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95F6">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2491">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59362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E10E2">
            <w:pPr>
              <w:keepNext w:val="0"/>
              <w:keepLines w:val="0"/>
              <w:widowControl/>
              <w:suppressLineNumbers w:val="0"/>
              <w:jc w:val="left"/>
              <w:textAlignment w:val="center"/>
              <w:rPr>
                <w:rFonts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2101199</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3C9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0"/>
                <w:szCs w:val="20"/>
                <w:u w:val="none"/>
              </w:rPr>
            </w:pPr>
            <w:r>
              <w:rPr>
                <w:rFonts w:hint="eastAsia" w:ascii="方正仿宋_GB2312" w:hAnsi="方正仿宋_GB2312" w:eastAsia="方正仿宋_GB2312" w:cs="方正仿宋_GB2312"/>
                <w:i w:val="0"/>
                <w:iCs w:val="0"/>
                <w:color w:val="000000"/>
                <w:kern w:val="0"/>
                <w:sz w:val="20"/>
                <w:szCs w:val="20"/>
                <w:u w:val="none"/>
                <w:lang w:val="en-US" w:eastAsia="zh-CN" w:bidi="ar"/>
              </w:rPr>
              <w:t>其他行政事业单位医疗支出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6E2E">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33,415.00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3E8E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33,415.00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3FDF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DD6D">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7629C">
            <w:pPr>
              <w:keepNext w:val="0"/>
              <w:keepLines w:val="0"/>
              <w:widowControl/>
              <w:suppressLineNumbers w:val="0"/>
              <w:jc w:val="right"/>
              <w:textAlignment w:val="center"/>
              <w:rPr>
                <w:rFonts w:hint="default" w:ascii="Times New Roman" w:hAnsi="Times New Roman" w:cs="Times New Roman"/>
                <w:i w:val="0"/>
                <w:iCs w:val="0"/>
                <w:color w:val="000000"/>
                <w:sz w:val="20"/>
                <w:szCs w:val="20"/>
                <w:u w:val="none"/>
              </w:rPr>
            </w:pPr>
          </w:p>
        </w:tc>
      </w:tr>
      <w:tr w14:paraId="5D1D6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14:paraId="020E1F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14:paraId="20DB5721">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56DF742E">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14:paraId="0D8E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14:paraId="4BF48765">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617" w:type="pct"/>
            <w:tcBorders>
              <w:top w:val="nil"/>
              <w:left w:val="nil"/>
              <w:bottom w:val="nil"/>
              <w:right w:val="nil"/>
            </w:tcBorders>
            <w:shd w:val="clear" w:color="auto" w:fill="auto"/>
            <w:noWrap/>
            <w:vAlign w:val="bottom"/>
          </w:tcPr>
          <w:p w14:paraId="03C934DF">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609C4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C0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14:paraId="1D03A5C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14:paraId="0A101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C769C5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14:paraId="3FA041E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14:paraId="0D15D2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14:paraId="3B6B8B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14:paraId="6E014F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14:paraId="08AC67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14:paraId="4104821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14:paraId="15CE339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14:paraId="3217647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14:paraId="3661B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3FE561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14:paraId="6156024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6DC2888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3,391,913.55</w:t>
            </w:r>
          </w:p>
        </w:tc>
        <w:tc>
          <w:tcPr>
            <w:tcW w:w="313" w:type="pct"/>
            <w:tcBorders>
              <w:top w:val="nil"/>
              <w:left w:val="nil"/>
              <w:bottom w:val="single" w:color="000000" w:sz="4" w:space="0"/>
              <w:right w:val="single" w:color="000000" w:sz="4" w:space="0"/>
            </w:tcBorders>
            <w:shd w:val="clear" w:color="auto" w:fill="auto"/>
            <w:noWrap/>
            <w:vAlign w:val="center"/>
          </w:tcPr>
          <w:p w14:paraId="07365A3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14:paraId="2665187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6CC63FB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63,464,104.18</w:t>
            </w:r>
          </w:p>
        </w:tc>
        <w:tc>
          <w:tcPr>
            <w:tcW w:w="390" w:type="pct"/>
            <w:tcBorders>
              <w:top w:val="nil"/>
              <w:left w:val="nil"/>
              <w:bottom w:val="single" w:color="000000" w:sz="4" w:space="0"/>
              <w:right w:val="single" w:color="000000" w:sz="4" w:space="0"/>
            </w:tcBorders>
            <w:shd w:val="clear" w:color="auto" w:fill="auto"/>
            <w:noWrap/>
            <w:vAlign w:val="center"/>
          </w:tcPr>
          <w:p w14:paraId="461526C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14:paraId="7B6562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1406C87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C51E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19B13F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14:paraId="57473B2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14:paraId="08ADEED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563,419.00</w:t>
            </w:r>
          </w:p>
        </w:tc>
        <w:tc>
          <w:tcPr>
            <w:tcW w:w="313" w:type="pct"/>
            <w:tcBorders>
              <w:top w:val="nil"/>
              <w:left w:val="nil"/>
              <w:bottom w:val="single" w:color="000000" w:sz="4" w:space="0"/>
              <w:right w:val="single" w:color="000000" w:sz="4" w:space="0"/>
            </w:tcBorders>
            <w:shd w:val="clear" w:color="auto" w:fill="auto"/>
            <w:noWrap/>
            <w:vAlign w:val="center"/>
          </w:tcPr>
          <w:p w14:paraId="3325F12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14:paraId="63EBF74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14:paraId="5DF08A5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16,382.40</w:t>
            </w:r>
          </w:p>
        </w:tc>
        <w:tc>
          <w:tcPr>
            <w:tcW w:w="390" w:type="pct"/>
            <w:tcBorders>
              <w:top w:val="nil"/>
              <w:left w:val="nil"/>
              <w:bottom w:val="single" w:color="000000" w:sz="4" w:space="0"/>
              <w:right w:val="single" w:color="000000" w:sz="4" w:space="0"/>
            </w:tcBorders>
            <w:shd w:val="clear" w:color="auto" w:fill="auto"/>
            <w:noWrap/>
            <w:vAlign w:val="center"/>
          </w:tcPr>
          <w:p w14:paraId="158CF81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14:paraId="4531358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7A5B9F5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D4BC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4653F2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14:paraId="5D93F1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14:paraId="243AF72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318,318.00</w:t>
            </w:r>
          </w:p>
        </w:tc>
        <w:tc>
          <w:tcPr>
            <w:tcW w:w="313" w:type="pct"/>
            <w:tcBorders>
              <w:top w:val="nil"/>
              <w:left w:val="nil"/>
              <w:bottom w:val="single" w:color="000000" w:sz="4" w:space="0"/>
              <w:right w:val="single" w:color="000000" w:sz="4" w:space="0"/>
            </w:tcBorders>
            <w:shd w:val="clear" w:color="auto" w:fill="auto"/>
            <w:noWrap/>
            <w:vAlign w:val="center"/>
          </w:tcPr>
          <w:p w14:paraId="3B5C502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14:paraId="22C6C7F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14:paraId="10995CD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46677C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14:paraId="4C16FB6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14:paraId="44B72D0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6ACE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2D6B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14:paraId="255B13C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14:paraId="1C1541A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142,353.75</w:t>
            </w:r>
          </w:p>
        </w:tc>
        <w:tc>
          <w:tcPr>
            <w:tcW w:w="313" w:type="pct"/>
            <w:tcBorders>
              <w:top w:val="nil"/>
              <w:left w:val="nil"/>
              <w:bottom w:val="single" w:color="000000" w:sz="4" w:space="0"/>
              <w:right w:val="single" w:color="000000" w:sz="4" w:space="0"/>
            </w:tcBorders>
            <w:shd w:val="clear" w:color="auto" w:fill="auto"/>
            <w:noWrap/>
            <w:vAlign w:val="center"/>
          </w:tcPr>
          <w:p w14:paraId="53BBA55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14:paraId="2837E2C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14:paraId="4990BCD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w:t>
            </w:r>
          </w:p>
        </w:tc>
        <w:tc>
          <w:tcPr>
            <w:tcW w:w="390" w:type="pct"/>
            <w:tcBorders>
              <w:top w:val="nil"/>
              <w:left w:val="nil"/>
              <w:bottom w:val="single" w:color="000000" w:sz="4" w:space="0"/>
              <w:right w:val="single" w:color="000000" w:sz="4" w:space="0"/>
            </w:tcBorders>
            <w:shd w:val="clear" w:color="auto" w:fill="auto"/>
            <w:noWrap/>
            <w:vAlign w:val="center"/>
          </w:tcPr>
          <w:p w14:paraId="4041324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14:paraId="4476BA2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14:paraId="0179776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FCDE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D6C2D2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14:paraId="1AF39DC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14:paraId="1AD7B40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5BE58B4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14:paraId="25445C6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14:paraId="1C2E71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2,750.00</w:t>
            </w:r>
          </w:p>
        </w:tc>
        <w:tc>
          <w:tcPr>
            <w:tcW w:w="390" w:type="pct"/>
            <w:tcBorders>
              <w:top w:val="nil"/>
              <w:left w:val="nil"/>
              <w:bottom w:val="single" w:color="000000" w:sz="4" w:space="0"/>
              <w:right w:val="single" w:color="000000" w:sz="4" w:space="0"/>
            </w:tcBorders>
            <w:shd w:val="clear" w:color="auto" w:fill="auto"/>
            <w:noWrap/>
            <w:vAlign w:val="center"/>
          </w:tcPr>
          <w:p w14:paraId="41F3669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14:paraId="1807556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14:paraId="03A100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AB1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70EF3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14:paraId="2F89F66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14:paraId="78CBE96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935,246.00</w:t>
            </w:r>
          </w:p>
        </w:tc>
        <w:tc>
          <w:tcPr>
            <w:tcW w:w="313" w:type="pct"/>
            <w:tcBorders>
              <w:top w:val="nil"/>
              <w:left w:val="nil"/>
              <w:bottom w:val="single" w:color="000000" w:sz="4" w:space="0"/>
              <w:right w:val="single" w:color="000000" w:sz="4" w:space="0"/>
            </w:tcBorders>
            <w:shd w:val="clear" w:color="auto" w:fill="auto"/>
            <w:noWrap/>
            <w:vAlign w:val="center"/>
          </w:tcPr>
          <w:p w14:paraId="09EA7BC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14:paraId="78CBEB3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14:paraId="689EE06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56,279.60</w:t>
            </w:r>
          </w:p>
        </w:tc>
        <w:tc>
          <w:tcPr>
            <w:tcW w:w="390" w:type="pct"/>
            <w:tcBorders>
              <w:top w:val="nil"/>
              <w:left w:val="nil"/>
              <w:bottom w:val="single" w:color="000000" w:sz="4" w:space="0"/>
              <w:right w:val="single" w:color="000000" w:sz="4" w:space="0"/>
            </w:tcBorders>
            <w:shd w:val="clear" w:color="auto" w:fill="auto"/>
            <w:noWrap/>
            <w:vAlign w:val="center"/>
          </w:tcPr>
          <w:p w14:paraId="4FFDF06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14:paraId="32B8B1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14:paraId="048DB43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D60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1E0443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14:paraId="1862A6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14:paraId="5B48E16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234,677.76</w:t>
            </w:r>
          </w:p>
        </w:tc>
        <w:tc>
          <w:tcPr>
            <w:tcW w:w="313" w:type="pct"/>
            <w:tcBorders>
              <w:top w:val="nil"/>
              <w:left w:val="nil"/>
              <w:bottom w:val="single" w:color="000000" w:sz="4" w:space="0"/>
              <w:right w:val="single" w:color="000000" w:sz="4" w:space="0"/>
            </w:tcBorders>
            <w:shd w:val="clear" w:color="auto" w:fill="auto"/>
            <w:noWrap/>
            <w:vAlign w:val="center"/>
          </w:tcPr>
          <w:p w14:paraId="20724B3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14:paraId="05DC628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14:paraId="095AD77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1,206,294.29</w:t>
            </w:r>
          </w:p>
        </w:tc>
        <w:tc>
          <w:tcPr>
            <w:tcW w:w="390" w:type="pct"/>
            <w:tcBorders>
              <w:top w:val="nil"/>
              <w:left w:val="nil"/>
              <w:bottom w:val="single" w:color="000000" w:sz="4" w:space="0"/>
              <w:right w:val="single" w:color="000000" w:sz="4" w:space="0"/>
            </w:tcBorders>
            <w:shd w:val="clear" w:color="auto" w:fill="auto"/>
            <w:noWrap/>
            <w:vAlign w:val="center"/>
          </w:tcPr>
          <w:p w14:paraId="387ED76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14:paraId="74B675B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14:paraId="26B2B7C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501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567B5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14:paraId="4D1F4BA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14:paraId="21D6A66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117,338.88</w:t>
            </w:r>
          </w:p>
        </w:tc>
        <w:tc>
          <w:tcPr>
            <w:tcW w:w="313" w:type="pct"/>
            <w:tcBorders>
              <w:top w:val="nil"/>
              <w:left w:val="nil"/>
              <w:bottom w:val="single" w:color="000000" w:sz="4" w:space="0"/>
              <w:right w:val="single" w:color="000000" w:sz="4" w:space="0"/>
            </w:tcBorders>
            <w:shd w:val="clear" w:color="auto" w:fill="auto"/>
            <w:noWrap/>
            <w:vAlign w:val="center"/>
          </w:tcPr>
          <w:p w14:paraId="4D36F55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14:paraId="2A97A5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14:paraId="64A6CEA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558,000.00</w:t>
            </w:r>
          </w:p>
        </w:tc>
        <w:tc>
          <w:tcPr>
            <w:tcW w:w="390" w:type="pct"/>
            <w:tcBorders>
              <w:top w:val="nil"/>
              <w:left w:val="nil"/>
              <w:bottom w:val="single" w:color="000000" w:sz="4" w:space="0"/>
              <w:right w:val="single" w:color="000000" w:sz="4" w:space="0"/>
            </w:tcBorders>
            <w:shd w:val="clear" w:color="auto" w:fill="auto"/>
            <w:noWrap/>
            <w:vAlign w:val="center"/>
          </w:tcPr>
          <w:p w14:paraId="2BE07F3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14:paraId="1FE5CAF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14:paraId="0786487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0A66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E3D148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14:paraId="6CF36C6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14:paraId="117D3E7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146,674.08</w:t>
            </w:r>
          </w:p>
        </w:tc>
        <w:tc>
          <w:tcPr>
            <w:tcW w:w="313" w:type="pct"/>
            <w:tcBorders>
              <w:top w:val="nil"/>
              <w:left w:val="nil"/>
              <w:bottom w:val="single" w:color="000000" w:sz="4" w:space="0"/>
              <w:right w:val="single" w:color="000000" w:sz="4" w:space="0"/>
            </w:tcBorders>
            <w:shd w:val="clear" w:color="auto" w:fill="auto"/>
            <w:noWrap/>
            <w:vAlign w:val="center"/>
          </w:tcPr>
          <w:p w14:paraId="36769A1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14:paraId="532AE1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14:paraId="7EC62C9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551882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14:paraId="476B0E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14:paraId="4A379F1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8398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762D1F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14:paraId="0903CDF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14:paraId="166F8EC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1C47AD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14:paraId="3943FC1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14:paraId="792FE1D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1,648,386.00</w:t>
            </w:r>
          </w:p>
        </w:tc>
        <w:tc>
          <w:tcPr>
            <w:tcW w:w="390" w:type="pct"/>
            <w:tcBorders>
              <w:top w:val="nil"/>
              <w:left w:val="nil"/>
              <w:bottom w:val="single" w:color="000000" w:sz="4" w:space="0"/>
              <w:right w:val="single" w:color="000000" w:sz="4" w:space="0"/>
            </w:tcBorders>
            <w:shd w:val="clear" w:color="auto" w:fill="auto"/>
            <w:noWrap/>
            <w:vAlign w:val="center"/>
          </w:tcPr>
          <w:p w14:paraId="7EB362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14:paraId="13B283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14:paraId="117362D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E8F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097444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14:paraId="3465CCB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14:paraId="54DBC5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10,267.08</w:t>
            </w:r>
          </w:p>
        </w:tc>
        <w:tc>
          <w:tcPr>
            <w:tcW w:w="313" w:type="pct"/>
            <w:tcBorders>
              <w:top w:val="nil"/>
              <w:left w:val="nil"/>
              <w:bottom w:val="single" w:color="000000" w:sz="4" w:space="0"/>
              <w:right w:val="single" w:color="000000" w:sz="4" w:space="0"/>
            </w:tcBorders>
            <w:shd w:val="clear" w:color="auto" w:fill="auto"/>
            <w:noWrap/>
            <w:vAlign w:val="center"/>
          </w:tcPr>
          <w:p w14:paraId="322692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14:paraId="04227E8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14:paraId="5F23CE0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13,530.00</w:t>
            </w:r>
          </w:p>
        </w:tc>
        <w:tc>
          <w:tcPr>
            <w:tcW w:w="390" w:type="pct"/>
            <w:tcBorders>
              <w:top w:val="nil"/>
              <w:left w:val="nil"/>
              <w:bottom w:val="single" w:color="000000" w:sz="4" w:space="0"/>
              <w:right w:val="single" w:color="000000" w:sz="4" w:space="0"/>
            </w:tcBorders>
            <w:shd w:val="clear" w:color="auto" w:fill="auto"/>
            <w:noWrap/>
            <w:vAlign w:val="center"/>
          </w:tcPr>
          <w:p w14:paraId="26E2DEC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14:paraId="69938A8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14:paraId="580ECFA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F210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3CE8B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14:paraId="58372D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14:paraId="09AEE87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827,106.00</w:t>
            </w:r>
          </w:p>
        </w:tc>
        <w:tc>
          <w:tcPr>
            <w:tcW w:w="313" w:type="pct"/>
            <w:tcBorders>
              <w:top w:val="nil"/>
              <w:left w:val="nil"/>
              <w:bottom w:val="single" w:color="000000" w:sz="4" w:space="0"/>
              <w:right w:val="single" w:color="000000" w:sz="4" w:space="0"/>
            </w:tcBorders>
            <w:shd w:val="clear" w:color="auto" w:fill="auto"/>
            <w:noWrap/>
            <w:vAlign w:val="center"/>
          </w:tcPr>
          <w:p w14:paraId="45B459C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14:paraId="2946A9F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14:paraId="2ACBF34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5633958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14:paraId="7370097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14:paraId="6652D7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AA1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7EEF7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14:paraId="405C0D1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14:paraId="65823D4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12,225.00</w:t>
            </w:r>
          </w:p>
        </w:tc>
        <w:tc>
          <w:tcPr>
            <w:tcW w:w="313" w:type="pct"/>
            <w:tcBorders>
              <w:top w:val="nil"/>
              <w:left w:val="nil"/>
              <w:bottom w:val="single" w:color="000000" w:sz="4" w:space="0"/>
              <w:right w:val="single" w:color="000000" w:sz="4" w:space="0"/>
            </w:tcBorders>
            <w:shd w:val="clear" w:color="auto" w:fill="auto"/>
            <w:noWrap/>
            <w:vAlign w:val="center"/>
          </w:tcPr>
          <w:p w14:paraId="68C5A20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14:paraId="28EF838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14:paraId="05AEEAE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1,161,070.50</w:t>
            </w:r>
          </w:p>
        </w:tc>
        <w:tc>
          <w:tcPr>
            <w:tcW w:w="390" w:type="pct"/>
            <w:tcBorders>
              <w:top w:val="nil"/>
              <w:left w:val="nil"/>
              <w:bottom w:val="single" w:color="000000" w:sz="4" w:space="0"/>
              <w:right w:val="single" w:color="000000" w:sz="4" w:space="0"/>
            </w:tcBorders>
            <w:shd w:val="clear" w:color="auto" w:fill="auto"/>
            <w:noWrap/>
            <w:vAlign w:val="center"/>
          </w:tcPr>
          <w:p w14:paraId="44E05A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14:paraId="3966E04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14:paraId="4DF60D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E6F3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C7E3E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14:paraId="696115A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63FF94C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84,288.00</w:t>
            </w:r>
          </w:p>
        </w:tc>
        <w:tc>
          <w:tcPr>
            <w:tcW w:w="313" w:type="pct"/>
            <w:tcBorders>
              <w:top w:val="nil"/>
              <w:left w:val="nil"/>
              <w:bottom w:val="single" w:color="000000" w:sz="4" w:space="0"/>
              <w:right w:val="single" w:color="000000" w:sz="4" w:space="0"/>
            </w:tcBorders>
            <w:shd w:val="clear" w:color="auto" w:fill="auto"/>
            <w:noWrap/>
            <w:vAlign w:val="center"/>
          </w:tcPr>
          <w:p w14:paraId="0666317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14:paraId="743378B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14:paraId="4011A06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55,199,625.00</w:t>
            </w:r>
          </w:p>
        </w:tc>
        <w:tc>
          <w:tcPr>
            <w:tcW w:w="390" w:type="pct"/>
            <w:tcBorders>
              <w:top w:val="nil"/>
              <w:left w:val="nil"/>
              <w:bottom w:val="single" w:color="000000" w:sz="4" w:space="0"/>
              <w:right w:val="single" w:color="000000" w:sz="4" w:space="0"/>
            </w:tcBorders>
            <w:shd w:val="clear" w:color="auto" w:fill="auto"/>
            <w:noWrap/>
            <w:vAlign w:val="center"/>
          </w:tcPr>
          <w:p w14:paraId="2EF2400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14:paraId="5884865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14:paraId="5356094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720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C60BD4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14:paraId="4EA0099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3CBDBD4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133,628.24</w:t>
            </w:r>
          </w:p>
        </w:tc>
        <w:tc>
          <w:tcPr>
            <w:tcW w:w="313" w:type="pct"/>
            <w:tcBorders>
              <w:top w:val="nil"/>
              <w:left w:val="nil"/>
              <w:bottom w:val="single" w:color="000000" w:sz="4" w:space="0"/>
              <w:right w:val="single" w:color="000000" w:sz="4" w:space="0"/>
            </w:tcBorders>
            <w:shd w:val="clear" w:color="auto" w:fill="auto"/>
            <w:noWrap/>
            <w:vAlign w:val="center"/>
          </w:tcPr>
          <w:p w14:paraId="496ABBA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14:paraId="2D53960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14:paraId="3A3B9B6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062B838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14:paraId="4D9C7FA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14:paraId="61B110B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1C5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AF430F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14:paraId="6AC8287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14:paraId="785B6FC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DCFC88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14:paraId="1CE91F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14:paraId="204F3F5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1,585.17</w:t>
            </w:r>
          </w:p>
        </w:tc>
        <w:tc>
          <w:tcPr>
            <w:tcW w:w="390" w:type="pct"/>
            <w:tcBorders>
              <w:top w:val="nil"/>
              <w:left w:val="nil"/>
              <w:bottom w:val="single" w:color="000000" w:sz="4" w:space="0"/>
              <w:right w:val="single" w:color="000000" w:sz="4" w:space="0"/>
            </w:tcBorders>
            <w:shd w:val="clear" w:color="auto" w:fill="auto"/>
            <w:noWrap/>
            <w:vAlign w:val="center"/>
          </w:tcPr>
          <w:p w14:paraId="6000F51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14:paraId="107E987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14:paraId="09590D9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F4CF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17775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14:paraId="522DD06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14:paraId="76E3B3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111,838.24</w:t>
            </w:r>
          </w:p>
        </w:tc>
        <w:tc>
          <w:tcPr>
            <w:tcW w:w="313" w:type="pct"/>
            <w:tcBorders>
              <w:top w:val="nil"/>
              <w:left w:val="nil"/>
              <w:bottom w:val="single" w:color="000000" w:sz="4" w:space="0"/>
              <w:right w:val="single" w:color="000000" w:sz="4" w:space="0"/>
            </w:tcBorders>
            <w:shd w:val="clear" w:color="auto" w:fill="auto"/>
            <w:noWrap/>
            <w:vAlign w:val="center"/>
          </w:tcPr>
          <w:p w14:paraId="08460B9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14:paraId="30DC880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14:paraId="59FD9E7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2E5B310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14:paraId="3C80F61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14:paraId="3348A62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346C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2DF878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14:paraId="60794B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14:paraId="0D72620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39C77D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14:paraId="065A7BF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14:paraId="00EBD5B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3A6536D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14:paraId="6C4A129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14:paraId="4E31855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9AA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45D1C4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14:paraId="275E795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14:paraId="3AD539D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1B3A7C1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14:paraId="374B3E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14:paraId="0CA1530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5828CD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14:paraId="1D4974C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14:paraId="29A672F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4B8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C21B4D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14:paraId="42B65C5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14:paraId="723C693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C9D98F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14:paraId="58B0166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14:paraId="63178DA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5E441C8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14:paraId="7CD6BC9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14:paraId="5814027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6831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68E0EE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14:paraId="0E99A38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14:paraId="615763C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061C905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14:paraId="555D354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14:paraId="0204AE5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3A4795D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14:paraId="03F5C67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14:paraId="32F16EB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DD2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6E6F73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14:paraId="1A199B7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14:paraId="4205B35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21,190.00</w:t>
            </w:r>
          </w:p>
        </w:tc>
        <w:tc>
          <w:tcPr>
            <w:tcW w:w="313" w:type="pct"/>
            <w:tcBorders>
              <w:top w:val="nil"/>
              <w:left w:val="nil"/>
              <w:bottom w:val="single" w:color="000000" w:sz="4" w:space="0"/>
              <w:right w:val="single" w:color="000000" w:sz="4" w:space="0"/>
            </w:tcBorders>
            <w:shd w:val="clear" w:color="auto" w:fill="auto"/>
            <w:noWrap/>
            <w:vAlign w:val="center"/>
          </w:tcPr>
          <w:p w14:paraId="5460161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14:paraId="16E2962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14:paraId="33A7B7E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53,900.00</w:t>
            </w:r>
          </w:p>
        </w:tc>
        <w:tc>
          <w:tcPr>
            <w:tcW w:w="390" w:type="pct"/>
            <w:tcBorders>
              <w:top w:val="nil"/>
              <w:left w:val="nil"/>
              <w:bottom w:val="single" w:color="000000" w:sz="4" w:space="0"/>
              <w:right w:val="single" w:color="000000" w:sz="4" w:space="0"/>
            </w:tcBorders>
            <w:shd w:val="clear" w:color="auto" w:fill="auto"/>
            <w:noWrap/>
            <w:vAlign w:val="center"/>
          </w:tcPr>
          <w:p w14:paraId="4A7A6B1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14:paraId="75B7CA6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14:paraId="23DBCF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43E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D4EC69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14:paraId="7E30A50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14:paraId="4BF77C4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1FB7C7C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14:paraId="094878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14:paraId="3831907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38,594.00</w:t>
            </w:r>
          </w:p>
        </w:tc>
        <w:tc>
          <w:tcPr>
            <w:tcW w:w="390" w:type="pct"/>
            <w:tcBorders>
              <w:top w:val="nil"/>
              <w:left w:val="nil"/>
              <w:bottom w:val="single" w:color="000000" w:sz="4" w:space="0"/>
              <w:right w:val="single" w:color="000000" w:sz="4" w:space="0"/>
            </w:tcBorders>
            <w:shd w:val="clear" w:color="auto" w:fill="auto"/>
            <w:noWrap/>
            <w:vAlign w:val="center"/>
          </w:tcPr>
          <w:p w14:paraId="2BCF265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14:paraId="16D0ABB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14:paraId="0D45767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A7AE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E752F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14:paraId="17D9969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14:paraId="674A18B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7655EA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14:paraId="59F28CE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14:paraId="7D0C440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50,600.00</w:t>
            </w:r>
          </w:p>
        </w:tc>
        <w:tc>
          <w:tcPr>
            <w:tcW w:w="390" w:type="pct"/>
            <w:tcBorders>
              <w:top w:val="nil"/>
              <w:left w:val="nil"/>
              <w:bottom w:val="single" w:color="000000" w:sz="4" w:space="0"/>
              <w:right w:val="single" w:color="000000" w:sz="4" w:space="0"/>
            </w:tcBorders>
            <w:shd w:val="clear" w:color="auto" w:fill="auto"/>
            <w:noWrap/>
            <w:vAlign w:val="center"/>
          </w:tcPr>
          <w:p w14:paraId="3431204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14:paraId="402ED2A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14:paraId="1B10BAE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CBC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0A12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14:paraId="40CA85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14:paraId="323BB7A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4A6AFDD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14:paraId="47E143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14:paraId="0B8C632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1,338,156.62</w:t>
            </w:r>
          </w:p>
        </w:tc>
        <w:tc>
          <w:tcPr>
            <w:tcW w:w="390" w:type="pct"/>
            <w:tcBorders>
              <w:top w:val="nil"/>
              <w:left w:val="nil"/>
              <w:bottom w:val="single" w:color="000000" w:sz="4" w:space="0"/>
              <w:right w:val="single" w:color="000000" w:sz="4" w:space="0"/>
            </w:tcBorders>
            <w:shd w:val="clear" w:color="auto" w:fill="auto"/>
            <w:noWrap/>
            <w:vAlign w:val="center"/>
          </w:tcPr>
          <w:p w14:paraId="03453A6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14:paraId="5E011FB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14:paraId="1135F6F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DCD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51AE4C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14:paraId="34EA6D4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14:paraId="0B37E0A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61BEB9D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14:paraId="48663E6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14:paraId="0AF8A4E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8,813.29</w:t>
            </w:r>
          </w:p>
        </w:tc>
        <w:tc>
          <w:tcPr>
            <w:tcW w:w="390" w:type="pct"/>
            <w:tcBorders>
              <w:top w:val="nil"/>
              <w:left w:val="nil"/>
              <w:bottom w:val="single" w:color="000000" w:sz="4" w:space="0"/>
              <w:right w:val="single" w:color="000000" w:sz="4" w:space="0"/>
            </w:tcBorders>
            <w:shd w:val="clear" w:color="auto" w:fill="auto"/>
            <w:noWrap/>
            <w:vAlign w:val="center"/>
          </w:tcPr>
          <w:p w14:paraId="38C2222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14:paraId="0CF98A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14:paraId="10B5055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C2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B5FA51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14:paraId="40FA2D2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0252834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600.00</w:t>
            </w:r>
          </w:p>
        </w:tc>
        <w:tc>
          <w:tcPr>
            <w:tcW w:w="313" w:type="pct"/>
            <w:tcBorders>
              <w:top w:val="nil"/>
              <w:left w:val="nil"/>
              <w:bottom w:val="single" w:color="000000" w:sz="4" w:space="0"/>
              <w:right w:val="single" w:color="000000" w:sz="4" w:space="0"/>
            </w:tcBorders>
            <w:shd w:val="clear" w:color="auto" w:fill="auto"/>
            <w:noWrap/>
            <w:vAlign w:val="center"/>
          </w:tcPr>
          <w:p w14:paraId="3F96395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14:paraId="5E93CB7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14:paraId="64B8DB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23,207.31</w:t>
            </w:r>
          </w:p>
        </w:tc>
        <w:tc>
          <w:tcPr>
            <w:tcW w:w="390" w:type="pct"/>
            <w:tcBorders>
              <w:top w:val="nil"/>
              <w:left w:val="nil"/>
              <w:bottom w:val="single" w:color="000000" w:sz="4" w:space="0"/>
              <w:right w:val="single" w:color="000000" w:sz="4" w:space="0"/>
            </w:tcBorders>
            <w:shd w:val="clear" w:color="auto" w:fill="auto"/>
            <w:noWrap/>
            <w:vAlign w:val="center"/>
          </w:tcPr>
          <w:p w14:paraId="4332A11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14:paraId="63BCC3A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14:paraId="6B014E7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01D48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102DEC5">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44AD36E3">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2417F2EF">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3C7E288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14:paraId="68C19A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363F58F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2,084,930.00</w:t>
            </w:r>
          </w:p>
        </w:tc>
        <w:tc>
          <w:tcPr>
            <w:tcW w:w="390" w:type="pct"/>
            <w:tcBorders>
              <w:top w:val="nil"/>
              <w:left w:val="nil"/>
              <w:bottom w:val="single" w:color="000000" w:sz="4" w:space="0"/>
              <w:right w:val="single" w:color="000000" w:sz="4" w:space="0"/>
            </w:tcBorders>
            <w:shd w:val="clear" w:color="auto" w:fill="auto"/>
            <w:noWrap/>
            <w:vAlign w:val="center"/>
          </w:tcPr>
          <w:p w14:paraId="7829583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14:paraId="61F1BE2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14:paraId="3518C58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6CBB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C831D27">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4220F48D">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335D2A3F">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7CD49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14:paraId="24CB7E7C">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14:paraId="1544CDE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2AF94B4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14:paraId="767E0259">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14:paraId="1F7F142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3B0D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9682DA2">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2B79C727">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39FCB30C">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B94A8B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14:paraId="5CD61EB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14:paraId="3FAFED0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7BA81DA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14:paraId="6382B36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14:paraId="204A933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4BB8E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F01E96F">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32D8B6B1">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3B150EB0">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1BD969F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14:paraId="2ADD614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14:paraId="23474BB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49DB300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14:paraId="65DB7DA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14:paraId="2AC85B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BB9B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3DEB26E">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14:paraId="7A086726">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14:paraId="033B8678">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14:paraId="29C6D8F8">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14:paraId="593CD9EE">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14:paraId="41905CD6">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14:paraId="70FEEC5D">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14:paraId="7222B15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14:paraId="2DA5B3B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38C77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14:paraId="4ECB0B9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14:paraId="070ACE2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3,525,541.79</w:t>
            </w:r>
          </w:p>
        </w:tc>
        <w:tc>
          <w:tcPr>
            <w:tcW w:w="2710" w:type="pct"/>
            <w:gridSpan w:val="5"/>
            <w:tcBorders>
              <w:top w:val="nil"/>
              <w:left w:val="nil"/>
              <w:bottom w:val="single" w:color="000000" w:sz="4" w:space="0"/>
              <w:right w:val="single" w:color="000000" w:sz="4" w:space="0"/>
            </w:tcBorders>
            <w:shd w:val="clear" w:color="auto" w:fill="auto"/>
            <w:noWrap/>
            <w:vAlign w:val="center"/>
          </w:tcPr>
          <w:p w14:paraId="64C5AB6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14:paraId="2202DEF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63,464,104.18</w:t>
            </w:r>
          </w:p>
        </w:tc>
      </w:tr>
      <w:tr w14:paraId="46A64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14:paraId="62A9F6C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14:paraId="3B8DCB0E">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24DCA273">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1"/>
        <w:gridCol w:w="3139"/>
        <w:gridCol w:w="1630"/>
        <w:gridCol w:w="1600"/>
        <w:gridCol w:w="1585"/>
        <w:gridCol w:w="1569"/>
        <w:gridCol w:w="1539"/>
        <w:gridCol w:w="1519"/>
      </w:tblGrid>
      <w:tr w14:paraId="002CC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57" w:type="pct"/>
            <w:gridSpan w:val="7"/>
            <w:tcBorders>
              <w:top w:val="nil"/>
              <w:left w:val="nil"/>
              <w:bottom w:val="nil"/>
              <w:right w:val="nil"/>
            </w:tcBorders>
            <w:shd w:val="clear" w:color="auto" w:fill="auto"/>
            <w:noWrap/>
            <w:vAlign w:val="bottom"/>
          </w:tcPr>
          <w:p w14:paraId="6ABB9BD8">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天津市西青区机关事务服务中心 </w:t>
            </w:r>
          </w:p>
        </w:tc>
        <w:tc>
          <w:tcPr>
            <w:tcW w:w="542" w:type="pct"/>
            <w:tcBorders>
              <w:top w:val="nil"/>
              <w:left w:val="nil"/>
              <w:bottom w:val="nil"/>
              <w:right w:val="nil"/>
            </w:tcBorders>
            <w:shd w:val="clear" w:color="auto" w:fill="auto"/>
            <w:noWrap/>
            <w:vAlign w:val="bottom"/>
          </w:tcPr>
          <w:p w14:paraId="41BBCC19">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14:paraId="33692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6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9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w:t>
            </w:r>
          </w:p>
        </w:tc>
        <w:tc>
          <w:tcPr>
            <w:tcW w:w="582" w:type="pct"/>
            <w:vMerge w:val="restart"/>
            <w:tcBorders>
              <w:top w:val="single" w:color="000000" w:sz="4" w:space="0"/>
              <w:left w:val="nil"/>
              <w:bottom w:val="single" w:color="000000" w:sz="4" w:space="0"/>
              <w:right w:val="single" w:color="000000" w:sz="4" w:space="0"/>
            </w:tcBorders>
            <w:shd w:val="clear" w:color="auto" w:fill="auto"/>
            <w:noWrap/>
            <w:vAlign w:val="center"/>
          </w:tcPr>
          <w:p w14:paraId="422EA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571" w:type="pct"/>
            <w:vMerge w:val="restart"/>
            <w:tcBorders>
              <w:top w:val="single" w:color="000000" w:sz="4" w:space="0"/>
              <w:left w:val="nil"/>
              <w:bottom w:val="single" w:color="000000" w:sz="4" w:space="0"/>
              <w:right w:val="single" w:color="000000" w:sz="4" w:space="0"/>
            </w:tcBorders>
            <w:shd w:val="clear" w:color="auto" w:fill="auto"/>
            <w:noWrap/>
            <w:vAlign w:val="center"/>
          </w:tcPr>
          <w:p w14:paraId="65C9DF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1677" w:type="pct"/>
            <w:gridSpan w:val="3"/>
            <w:tcBorders>
              <w:top w:val="single" w:color="000000" w:sz="4" w:space="0"/>
              <w:left w:val="nil"/>
              <w:bottom w:val="single" w:color="000000" w:sz="4" w:space="0"/>
              <w:right w:val="single" w:color="000000" w:sz="4" w:space="0"/>
            </w:tcBorders>
            <w:shd w:val="clear" w:color="auto" w:fill="auto"/>
            <w:noWrap/>
            <w:vAlign w:val="center"/>
          </w:tcPr>
          <w:p w14:paraId="1C2DF9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542" w:type="pct"/>
            <w:vMerge w:val="restart"/>
            <w:tcBorders>
              <w:top w:val="single" w:color="000000" w:sz="4" w:space="0"/>
              <w:left w:val="nil"/>
              <w:bottom w:val="single" w:color="000000" w:sz="4" w:space="0"/>
              <w:right w:val="single" w:color="000000" w:sz="4" w:space="0"/>
            </w:tcBorders>
            <w:shd w:val="clear" w:color="auto" w:fill="auto"/>
            <w:noWrap/>
            <w:vAlign w:val="center"/>
          </w:tcPr>
          <w:p w14:paraId="0BA81E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7751C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4" w:type="pct"/>
            <w:tcBorders>
              <w:top w:val="nil"/>
              <w:left w:val="single" w:color="000000" w:sz="4" w:space="0"/>
              <w:bottom w:val="nil"/>
              <w:right w:val="single" w:color="000000" w:sz="4" w:space="0"/>
            </w:tcBorders>
            <w:shd w:val="clear" w:color="auto" w:fill="auto"/>
            <w:noWrap/>
            <w:vAlign w:val="center"/>
          </w:tcPr>
          <w:p w14:paraId="4EE1A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121" w:type="pct"/>
            <w:tcBorders>
              <w:top w:val="nil"/>
              <w:left w:val="nil"/>
              <w:bottom w:val="nil"/>
              <w:right w:val="single" w:color="000000" w:sz="4" w:space="0"/>
            </w:tcBorders>
            <w:shd w:val="clear" w:color="auto" w:fill="auto"/>
            <w:noWrap/>
            <w:vAlign w:val="center"/>
          </w:tcPr>
          <w:p w14:paraId="60FDB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8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4C0C06B">
            <w:pPr>
              <w:jc w:val="center"/>
              <w:rPr>
                <w:rFonts w:hint="eastAsia" w:ascii="宋体" w:hAnsi="宋体" w:eastAsia="宋体" w:cs="宋体"/>
                <w:i w:val="0"/>
                <w:iCs w:val="0"/>
                <w:color w:val="000000"/>
                <w:sz w:val="22"/>
                <w:szCs w:val="22"/>
                <w:u w:val="none"/>
              </w:rPr>
            </w:pPr>
          </w:p>
        </w:tc>
        <w:tc>
          <w:tcPr>
            <w:tcW w:w="57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2D3525C">
            <w:pPr>
              <w:jc w:val="center"/>
              <w:rPr>
                <w:rFonts w:hint="eastAsia" w:ascii="宋体" w:hAnsi="宋体" w:eastAsia="宋体" w:cs="宋体"/>
                <w:i w:val="0"/>
                <w:iCs w:val="0"/>
                <w:color w:val="000000"/>
                <w:sz w:val="22"/>
                <w:szCs w:val="22"/>
                <w:u w:val="none"/>
              </w:rPr>
            </w:pPr>
          </w:p>
        </w:tc>
        <w:tc>
          <w:tcPr>
            <w:tcW w:w="566" w:type="pct"/>
            <w:tcBorders>
              <w:top w:val="nil"/>
              <w:left w:val="nil"/>
              <w:bottom w:val="nil"/>
              <w:right w:val="single" w:color="000000" w:sz="4" w:space="0"/>
            </w:tcBorders>
            <w:shd w:val="clear" w:color="auto" w:fill="auto"/>
            <w:noWrap/>
            <w:vAlign w:val="center"/>
          </w:tcPr>
          <w:p w14:paraId="121AC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60" w:type="pct"/>
            <w:tcBorders>
              <w:top w:val="nil"/>
              <w:left w:val="nil"/>
              <w:bottom w:val="nil"/>
              <w:right w:val="single" w:color="000000" w:sz="4" w:space="0"/>
            </w:tcBorders>
            <w:shd w:val="clear" w:color="auto" w:fill="auto"/>
            <w:noWrap/>
            <w:vAlign w:val="center"/>
          </w:tcPr>
          <w:p w14:paraId="11BF1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基本支出  </w:t>
            </w:r>
          </w:p>
        </w:tc>
        <w:tc>
          <w:tcPr>
            <w:tcW w:w="549" w:type="pct"/>
            <w:tcBorders>
              <w:top w:val="nil"/>
              <w:left w:val="nil"/>
              <w:bottom w:val="nil"/>
              <w:right w:val="single" w:color="000000" w:sz="4" w:space="0"/>
            </w:tcBorders>
            <w:shd w:val="clear" w:color="auto" w:fill="auto"/>
            <w:noWrap/>
            <w:vAlign w:val="center"/>
          </w:tcPr>
          <w:p w14:paraId="6826AE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54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C037040">
            <w:pPr>
              <w:jc w:val="center"/>
              <w:rPr>
                <w:rFonts w:hint="eastAsia" w:ascii="宋体" w:hAnsi="宋体" w:eastAsia="宋体" w:cs="宋体"/>
                <w:i w:val="0"/>
                <w:iCs w:val="0"/>
                <w:color w:val="000000"/>
                <w:sz w:val="22"/>
                <w:szCs w:val="22"/>
                <w:u w:val="none"/>
              </w:rPr>
            </w:pPr>
          </w:p>
        </w:tc>
      </w:tr>
      <w:tr w14:paraId="4A750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6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F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E3F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7F7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C127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31E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795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429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14:paraId="021EA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4B1265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14:paraId="53A39391">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天津市西青区机关事务服务中心2024年政府性基金预算财政拨款收入支出决算表为空表。</w:t>
      </w:r>
    </w:p>
    <w:p w14:paraId="4BB56520">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3F13B15A">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3261"/>
        <w:gridCol w:w="1692"/>
        <w:gridCol w:w="1677"/>
        <w:gridCol w:w="1493"/>
        <w:gridCol w:w="1538"/>
        <w:gridCol w:w="1662"/>
        <w:gridCol w:w="1565"/>
      </w:tblGrid>
      <w:tr w14:paraId="39BC9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40" w:type="pct"/>
            <w:gridSpan w:val="7"/>
            <w:tcBorders>
              <w:top w:val="nil"/>
              <w:left w:val="nil"/>
              <w:bottom w:val="nil"/>
              <w:right w:val="nil"/>
            </w:tcBorders>
            <w:shd w:val="clear" w:color="auto" w:fill="auto"/>
            <w:noWrap/>
            <w:vAlign w:val="bottom"/>
          </w:tcPr>
          <w:p w14:paraId="245326A9">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天津市西青区机关事务服务中心 </w:t>
            </w:r>
          </w:p>
        </w:tc>
        <w:tc>
          <w:tcPr>
            <w:tcW w:w="559" w:type="pct"/>
            <w:tcBorders>
              <w:top w:val="nil"/>
              <w:left w:val="nil"/>
              <w:bottom w:val="nil"/>
              <w:right w:val="nil"/>
            </w:tcBorders>
            <w:shd w:val="clear" w:color="auto" w:fill="auto"/>
            <w:noWrap/>
            <w:vAlign w:val="bottom"/>
          </w:tcPr>
          <w:p w14:paraId="66FEE526">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14:paraId="436CC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5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E6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w:t>
            </w:r>
          </w:p>
        </w:tc>
        <w:tc>
          <w:tcPr>
            <w:tcW w:w="6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A9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59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6F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16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7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2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44721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1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1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6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6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C5D7">
            <w:pPr>
              <w:jc w:val="center"/>
              <w:rPr>
                <w:rFonts w:hint="eastAsia" w:ascii="宋体" w:hAnsi="宋体" w:eastAsia="宋体" w:cs="宋体"/>
                <w:i w:val="0"/>
                <w:iCs w:val="0"/>
                <w:color w:val="000000"/>
                <w:sz w:val="22"/>
                <w:szCs w:val="22"/>
                <w:u w:val="none"/>
              </w:rPr>
            </w:pPr>
          </w:p>
        </w:tc>
        <w:tc>
          <w:tcPr>
            <w:tcW w:w="5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57DD">
            <w:pPr>
              <w:jc w:val="center"/>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59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A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基本支出  </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2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A687F">
            <w:pPr>
              <w:jc w:val="center"/>
              <w:rPr>
                <w:rFonts w:hint="eastAsia" w:ascii="宋体" w:hAnsi="宋体" w:eastAsia="宋体" w:cs="宋体"/>
                <w:i w:val="0"/>
                <w:iCs w:val="0"/>
                <w:color w:val="000000"/>
                <w:sz w:val="22"/>
                <w:szCs w:val="22"/>
                <w:u w:val="none"/>
              </w:rPr>
            </w:pPr>
          </w:p>
        </w:tc>
      </w:tr>
      <w:tr w14:paraId="0F89C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5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32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A3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BE9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B061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8EF2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5148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DC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14:paraId="4A2B4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106754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14:paraId="38CECBA7">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天津市西青区机关事务服务中心2024年国有资本经营预算财政拨款收入支出决算表为空表。</w:t>
      </w:r>
    </w:p>
    <w:p w14:paraId="7ECF7B4C">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0DEC4737">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14:paraId="1C657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14:paraId="33336A0F">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2146" w:type="dxa"/>
            <w:tcBorders>
              <w:top w:val="nil"/>
              <w:left w:val="nil"/>
              <w:bottom w:val="nil"/>
              <w:right w:val="nil"/>
            </w:tcBorders>
            <w:shd w:val="clear" w:color="auto" w:fill="auto"/>
            <w:noWrap/>
            <w:vAlign w:val="bottom"/>
          </w:tcPr>
          <w:p w14:paraId="039D14D3">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26719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846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14:paraId="1360CD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14:paraId="46B2E25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14:paraId="58DB67E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14:paraId="2B41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0F3AF">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14:paraId="37143595">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14:paraId="68882A0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14:paraId="6530F5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14:paraId="3B4E21F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B7186A7">
            <w:pPr>
              <w:jc w:val="center"/>
              <w:rPr>
                <w:rFonts w:hint="eastAsia" w:asciiTheme="minorEastAsia" w:hAnsiTheme="minorEastAsia" w:eastAsiaTheme="minorEastAsia" w:cstheme="minorEastAsia"/>
                <w:b w:val="0"/>
                <w:bCs w:val="0"/>
                <w:i w:val="0"/>
                <w:iCs w:val="0"/>
                <w:color w:val="000000"/>
                <w:sz w:val="22"/>
                <w:szCs w:val="22"/>
                <w:u w:val="none"/>
              </w:rPr>
            </w:pPr>
          </w:p>
        </w:tc>
      </w:tr>
      <w:tr w14:paraId="73785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E757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1,338,156.62</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DD0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5D2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1,338,156.62</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461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898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1,338,156.62</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45C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8D2A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14:paraId="35D39B8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14:paraId="44FF02B4">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14:paraId="2EA3F90D">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16"/>
        <w:gridCol w:w="1769"/>
        <w:gridCol w:w="1631"/>
        <w:gridCol w:w="1692"/>
        <w:gridCol w:w="1646"/>
        <w:gridCol w:w="1693"/>
        <w:gridCol w:w="1635"/>
      </w:tblGrid>
      <w:tr w14:paraId="788B6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16" w:type="pct"/>
            <w:gridSpan w:val="7"/>
            <w:tcBorders>
              <w:top w:val="nil"/>
              <w:left w:val="nil"/>
              <w:bottom w:val="nil"/>
              <w:right w:val="nil"/>
            </w:tcBorders>
            <w:shd w:val="clear" w:color="auto" w:fill="auto"/>
            <w:noWrap/>
            <w:vAlign w:val="bottom"/>
          </w:tcPr>
          <w:p w14:paraId="27BC2604">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部门（单位）：天津市西青区机关事务服务中心 </w:t>
            </w:r>
          </w:p>
        </w:tc>
        <w:tc>
          <w:tcPr>
            <w:tcW w:w="583" w:type="pct"/>
            <w:tcBorders>
              <w:top w:val="nil"/>
              <w:left w:val="nil"/>
              <w:bottom w:val="nil"/>
              <w:right w:val="nil"/>
            </w:tcBorders>
            <w:shd w:val="clear" w:color="auto" w:fill="auto"/>
            <w:noWrap/>
            <w:vAlign w:val="bottom"/>
          </w:tcPr>
          <w:p w14:paraId="21C002DC">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14:paraId="6FA2F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6D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06" w:type="pct"/>
            <w:vMerge w:val="restart"/>
            <w:tcBorders>
              <w:top w:val="single" w:color="000000" w:sz="4" w:space="0"/>
              <w:left w:val="nil"/>
              <w:bottom w:val="single" w:color="000000" w:sz="4" w:space="0"/>
              <w:right w:val="single" w:color="000000" w:sz="4" w:space="0"/>
            </w:tcBorders>
            <w:shd w:val="clear" w:color="auto" w:fill="auto"/>
            <w:noWrap/>
            <w:vAlign w:val="center"/>
          </w:tcPr>
          <w:p w14:paraId="642E83F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3596" w:type="pct"/>
            <w:gridSpan w:val="6"/>
            <w:tcBorders>
              <w:top w:val="single" w:color="000000" w:sz="4" w:space="0"/>
              <w:left w:val="nil"/>
              <w:bottom w:val="single" w:color="000000" w:sz="4" w:space="0"/>
              <w:right w:val="single" w:color="000000" w:sz="4" w:space="0"/>
            </w:tcBorders>
            <w:shd w:val="clear" w:color="auto" w:fill="auto"/>
            <w:noWrap/>
            <w:vAlign w:val="center"/>
          </w:tcPr>
          <w:p w14:paraId="7757026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14:paraId="6AF03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A3FBE">
            <w:pPr>
              <w:jc w:val="center"/>
              <w:rPr>
                <w:rFonts w:hint="eastAsia" w:asciiTheme="minorEastAsia" w:hAnsiTheme="minorEastAsia" w:eastAsiaTheme="minorEastAsia" w:cstheme="minorEastAsia"/>
                <w:b w:val="0"/>
                <w:bCs w:val="0"/>
                <w:i w:val="0"/>
                <w:iCs w:val="0"/>
                <w:color w:val="000000"/>
                <w:sz w:val="22"/>
                <w:szCs w:val="22"/>
                <w:u w:val="none"/>
              </w:rPr>
            </w:pPr>
          </w:p>
        </w:tc>
        <w:tc>
          <w:tcPr>
            <w:tcW w:w="100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909B9D7">
            <w:pPr>
              <w:jc w:val="center"/>
              <w:rPr>
                <w:rFonts w:hint="eastAsia" w:asciiTheme="minorEastAsia" w:hAnsiTheme="minorEastAsia" w:eastAsiaTheme="minorEastAsia" w:cstheme="minorEastAsia"/>
                <w:b w:val="0"/>
                <w:bCs w:val="0"/>
                <w:i w:val="0"/>
                <w:iCs w:val="0"/>
                <w:color w:val="000000"/>
                <w:sz w:val="22"/>
                <w:szCs w:val="22"/>
                <w:u w:val="none"/>
              </w:rPr>
            </w:pPr>
          </w:p>
        </w:tc>
        <w:tc>
          <w:tcPr>
            <w:tcW w:w="632" w:type="pct"/>
            <w:tcBorders>
              <w:top w:val="nil"/>
              <w:left w:val="nil"/>
              <w:bottom w:val="nil"/>
              <w:right w:val="single" w:color="000000" w:sz="4" w:space="0"/>
            </w:tcBorders>
            <w:shd w:val="clear" w:color="auto" w:fill="auto"/>
            <w:noWrap/>
            <w:vAlign w:val="center"/>
          </w:tcPr>
          <w:p w14:paraId="746083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  计</w:t>
            </w:r>
          </w:p>
        </w:tc>
        <w:tc>
          <w:tcPr>
            <w:tcW w:w="582" w:type="pct"/>
            <w:tcBorders>
              <w:top w:val="nil"/>
              <w:left w:val="nil"/>
              <w:bottom w:val="nil"/>
              <w:right w:val="single" w:color="000000" w:sz="4" w:space="0"/>
            </w:tcBorders>
            <w:shd w:val="clear" w:color="auto" w:fill="auto"/>
            <w:noWrap/>
            <w:vAlign w:val="center"/>
          </w:tcPr>
          <w:p w14:paraId="0B65113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4" w:type="pct"/>
            <w:tcBorders>
              <w:top w:val="nil"/>
              <w:left w:val="nil"/>
              <w:bottom w:val="nil"/>
              <w:right w:val="single" w:color="000000" w:sz="4" w:space="0"/>
            </w:tcBorders>
            <w:shd w:val="clear" w:color="auto" w:fill="auto"/>
            <w:noWrap/>
            <w:vAlign w:val="center"/>
          </w:tcPr>
          <w:p w14:paraId="137A713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588" w:type="pct"/>
            <w:tcBorders>
              <w:top w:val="nil"/>
              <w:left w:val="nil"/>
              <w:bottom w:val="nil"/>
              <w:right w:val="single" w:color="000000" w:sz="4" w:space="0"/>
            </w:tcBorders>
            <w:shd w:val="clear" w:color="auto" w:fill="auto"/>
            <w:noWrap/>
            <w:vAlign w:val="center"/>
          </w:tcPr>
          <w:p w14:paraId="64F8975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604" w:type="pct"/>
            <w:tcBorders>
              <w:top w:val="nil"/>
              <w:left w:val="nil"/>
              <w:bottom w:val="nil"/>
              <w:right w:val="single" w:color="000000" w:sz="4" w:space="0"/>
            </w:tcBorders>
            <w:shd w:val="clear" w:color="auto" w:fill="auto"/>
            <w:noWrap/>
            <w:vAlign w:val="center"/>
          </w:tcPr>
          <w:p w14:paraId="59C2C5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83" w:type="pct"/>
            <w:tcBorders>
              <w:top w:val="nil"/>
              <w:left w:val="nil"/>
              <w:bottom w:val="nil"/>
              <w:right w:val="single" w:color="000000" w:sz="4" w:space="0"/>
            </w:tcBorders>
            <w:shd w:val="clear" w:color="auto" w:fill="auto"/>
            <w:noWrap/>
            <w:vAlign w:val="center"/>
          </w:tcPr>
          <w:p w14:paraId="63DCD1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14:paraId="2C01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4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FC8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31C1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15,251,258.13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F7DA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15,251,258.13</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48D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F3C3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8F9A3">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2A7B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53946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212C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433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668D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AA01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4DC9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6D84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F94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3159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F3C7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A6267">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4420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政府办公厅（室）及相关机构事务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4176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7C4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15,229,096.53</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39E99">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BAEB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377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2FAA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D6A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F664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2010350</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08D83">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事业运行</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5EAC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18,100.00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6D7E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18,100.00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55006">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760B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364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10E9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77597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180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2010399</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583A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其他政府办公厅（室）及相关机构事务支出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8281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15,210,996.53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62DD">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15,210,996.53</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26EF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B5F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B5502">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461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1596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850E">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2D9E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4672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00FAE">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CB8DB">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E68F4">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DF68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2342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4178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713A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1068">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抚恤</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EE1B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6603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A161">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B0457">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63E98">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D15D5">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18D0B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8D0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2080801</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F9FE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死亡抚恤</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E9B4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466A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22,161.60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6915A">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C4C0C">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89CFF">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B9C30">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14:paraId="2968E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521DD5D4">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14:paraId="60BC4EC9">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14:paraId="487DE530">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cols w:space="720" w:num="1"/>
          <w:docGrid w:type="lines" w:linePitch="312" w:charSpace="0"/>
        </w:sectPr>
      </w:pPr>
    </w:p>
    <w:p w14:paraId="64EBE32F">
      <w:pPr>
        <w:widowControl/>
        <w:spacing w:before="0" w:beforeLines="0" w:beforeAutospacing="0" w:after="0" w:afterLines="0" w:afterAutospacing="0" w:line="360" w:lineRule="auto"/>
        <w:jc w:val="center"/>
        <w:outlineLvl w:val="0"/>
        <w:rPr>
          <w:rFonts w:ascii="Fz_S_BiaoSong_Jt" w:eastAsia="Fz_S_BiaoSong_Jt"/>
          <w:sz w:val="44"/>
          <w:szCs w:val="44"/>
        </w:rPr>
      </w:pPr>
      <w:r>
        <w:rPr>
          <w:rFonts w:ascii="Fz_S_BiaoSong_Jt" w:eastAsia="Fz_S_BiaoSong_Jt"/>
          <w:b/>
          <w:sz w:val="44"/>
          <w:szCs w:val="44"/>
        </w:rPr>
        <w:t>第三部分2024年度部门决算情况说明</w:t>
      </w:r>
    </w:p>
    <w:p w14:paraId="3B48AA71">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14:paraId="2714B1A7">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天津市西青区机关事务服务中心2024年度收入、支出决算总计82,240,904.10元。与2023年度相比，收、支总计各减少7,945,523.72元，下降8.810%，主要原因是</w:t>
      </w:r>
      <w:r>
        <w:rPr>
          <w:rFonts w:hint="eastAsia" w:ascii="Times New Roman" w:eastAsia="仿宋_GB2312"/>
          <w:b w:val="0"/>
          <w:sz w:val="30"/>
          <w:szCs w:val="30"/>
        </w:rPr>
        <w:t>物业费减少</w:t>
      </w:r>
      <w:r>
        <w:rPr>
          <w:rFonts w:ascii="Times New Roman" w:eastAsia="仿宋_GB2312"/>
          <w:b w:val="0"/>
          <w:sz w:val="30"/>
          <w:szCs w:val="30"/>
        </w:rPr>
        <w:t>。</w:t>
      </w:r>
    </w:p>
    <w:p w14:paraId="75915674">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收入包括：一般公共预算财政拨款收入82,240,904.10元。</w:t>
      </w:r>
    </w:p>
    <w:p w14:paraId="034AB18A">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支出包括：一般公共服务支出81,572,669.54元、教育支出1,000.00元、社会保障和就业支出487,145.48元、卫生健康支出180,089.08元。</w:t>
      </w:r>
    </w:p>
    <w:p w14:paraId="3B065A90">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14:paraId="28C2EFCE">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天津市西青区机关事务服务中心2024年度本年收入合计82,240,904.10元，与2023年度相比减少7,945,523.72元，主要原因是</w:t>
      </w:r>
      <w:r>
        <w:rPr>
          <w:rFonts w:hint="eastAsia" w:ascii="Times New Roman" w:eastAsia="仿宋_GB2312"/>
          <w:b w:val="0"/>
          <w:sz w:val="30"/>
          <w:szCs w:val="30"/>
        </w:rPr>
        <w:t>物业费减少</w:t>
      </w:r>
      <w:r>
        <w:rPr>
          <w:rFonts w:ascii="Times New Roman" w:eastAsia="仿宋_GB2312"/>
          <w:b w:val="0"/>
          <w:sz w:val="30"/>
          <w:szCs w:val="30"/>
        </w:rPr>
        <w:t>。其中：</w:t>
      </w:r>
    </w:p>
    <w:p w14:paraId="2B6EA793">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一般公共预算财政拨款收入82,240,904.10元，占100.000%。</w:t>
      </w:r>
    </w:p>
    <w:p w14:paraId="0E31134B">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14:paraId="553A6588">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天津市西青区机关事务服务中心2024年度本年支出合计82,240,904.10元，与2023年度相比减少7,945,523.72元，主要原因是</w:t>
      </w:r>
      <w:r>
        <w:rPr>
          <w:rFonts w:hint="eastAsia" w:ascii="Times New Roman" w:eastAsia="仿宋_GB2312"/>
          <w:b w:val="0"/>
          <w:sz w:val="30"/>
          <w:szCs w:val="30"/>
        </w:rPr>
        <w:t>物业费减少</w:t>
      </w:r>
      <w:r>
        <w:rPr>
          <w:rFonts w:ascii="Times New Roman" w:eastAsia="仿宋_GB2312"/>
          <w:b w:val="0"/>
          <w:sz w:val="30"/>
          <w:szCs w:val="30"/>
        </w:rPr>
        <w:t>。其中：</w:t>
      </w:r>
    </w:p>
    <w:p w14:paraId="6B90F9F2">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基本支出66,989,645.97元，占81.455%；项目支出15,251,258.13元，占18.545%。</w:t>
      </w:r>
    </w:p>
    <w:p w14:paraId="0E749383">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14:paraId="3639FC4A">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天津市西青区机关事务服务中心2024年度财政拨款收入、支出决算总计82,240,904.10元。与2023年度相比，财政拨款收、支总计各减少7,945,523.72元，下降8.810%，主要原因是</w:t>
      </w:r>
      <w:r>
        <w:rPr>
          <w:rFonts w:hint="eastAsia" w:ascii="Times New Roman" w:eastAsia="仿宋_GB2312"/>
          <w:b w:val="0"/>
          <w:sz w:val="30"/>
          <w:szCs w:val="30"/>
        </w:rPr>
        <w:t>物业费减少</w:t>
      </w:r>
      <w:r>
        <w:rPr>
          <w:rFonts w:ascii="Times New Roman" w:eastAsia="仿宋_GB2312"/>
          <w:b w:val="0"/>
          <w:sz w:val="30"/>
          <w:szCs w:val="30"/>
        </w:rPr>
        <w:t>。</w:t>
      </w:r>
    </w:p>
    <w:p w14:paraId="2DC75E5C">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收入包括：一般公共预算财政拨款82,240,904.10元。</w:t>
      </w:r>
    </w:p>
    <w:p w14:paraId="426A6F72">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支出包括：一般公共服务支出81,572,669.54元、教育支出1,000.00元、社会保障和就业支出487,145.48元、卫生健康支出180,089.08元。</w:t>
      </w:r>
    </w:p>
    <w:p w14:paraId="2BA57E2A">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14:paraId="54D89C62">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14:paraId="3AA59054">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天津市西青区机关事务服务中心2024年度部门决算一般公共预算财政拨款支出合计82,240,904.10元，占本年支出合计的100.000%。与2023年度相比，一般公共预算财政拨款支出减少7,945,523.72元，下降8.810%，主要原因是</w:t>
      </w:r>
      <w:r>
        <w:rPr>
          <w:rFonts w:hint="eastAsia" w:ascii="Times New Roman" w:eastAsia="仿宋_GB2312"/>
          <w:b w:val="0"/>
          <w:sz w:val="30"/>
          <w:szCs w:val="30"/>
          <w:lang w:val="en-US" w:eastAsia="zh-CN"/>
        </w:rPr>
        <w:t>物业费减少</w:t>
      </w:r>
      <w:r>
        <w:rPr>
          <w:rFonts w:ascii="Times New Roman" w:eastAsia="仿宋_GB2312"/>
          <w:b w:val="0"/>
          <w:sz w:val="30"/>
          <w:szCs w:val="30"/>
        </w:rPr>
        <w:t>。</w:t>
      </w:r>
    </w:p>
    <w:p w14:paraId="309639BD">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14:paraId="48E94170">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82,240,904.10元，主要用于以下方面：一般公共服务支出（类）81,572,669.54元，占99.187%；教育支出（类）1,000.00元，占0.001%；社会保障和就业支出（类）487,145.48元，占0.592%；卫生健康支出（类）180,089.08元，占0.219%。</w:t>
      </w:r>
    </w:p>
    <w:p w14:paraId="36149068">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14:paraId="7904047B">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2024年度一般公共预算财政拨款支出年初预算为83,277,644.32元，支出决算为82,240,904.10元，完成年初预算的98.755%。其中：</w:t>
      </w:r>
    </w:p>
    <w:p w14:paraId="42E67922">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1.一般公共服务支出（类）政府办公厅（室）及相关机构事务（款）事业运行（项）年初预算为73,232,503.40元，支出决算为66,361,673.01元，完成年初预算的90.618%，决算数小于年初预算数的主要原因是</w:t>
      </w:r>
      <w:r>
        <w:rPr>
          <w:rFonts w:hint="eastAsia" w:ascii="Times New Roman" w:eastAsia="仿宋_GB2312"/>
          <w:b w:val="0"/>
          <w:sz w:val="30"/>
          <w:szCs w:val="30"/>
        </w:rPr>
        <w:t>物业费减少</w:t>
      </w:r>
      <w:r>
        <w:rPr>
          <w:rFonts w:ascii="Times New Roman" w:eastAsia="仿宋_GB2312"/>
          <w:b w:val="0"/>
          <w:sz w:val="30"/>
          <w:szCs w:val="30"/>
        </w:rPr>
        <w:t>。</w:t>
      </w:r>
    </w:p>
    <w:p w14:paraId="3489A762">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2.一般公共服务支出（类）政府办公厅（室）及相关机构事务（款）其他政府办公厅（室）及相关机构事务支出（项）年初预算为9,380,000.00元，支出决算为15,210,996.53元，完成年初预算的162.164%，决算数大于年初预算数的主要原因是</w:t>
      </w:r>
      <w:r>
        <w:rPr>
          <w:rFonts w:hint="eastAsia" w:ascii="Times New Roman" w:eastAsia="仿宋_GB2312"/>
          <w:b w:val="0"/>
          <w:sz w:val="30"/>
          <w:szCs w:val="30"/>
          <w:lang w:val="en-US" w:eastAsia="zh-CN"/>
        </w:rPr>
        <w:t>追加预算，用于区党政机关办公用房管理工作经费项目支出</w:t>
      </w:r>
      <w:r>
        <w:rPr>
          <w:rFonts w:ascii="Times New Roman" w:eastAsia="仿宋_GB2312"/>
          <w:b w:val="0"/>
          <w:sz w:val="30"/>
          <w:szCs w:val="30"/>
        </w:rPr>
        <w:t>。</w:t>
      </w:r>
    </w:p>
    <w:p w14:paraId="6ACA9AFF">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3.教育支出（类）进修及培训（款）培训支出（项）年初预算为1,500.00元，支出决算为1,000.00元，完成年初预算的66.667%，决算数小于年初预算数的主要原因是</w:t>
      </w:r>
      <w:r>
        <w:rPr>
          <w:rFonts w:hint="eastAsia" w:ascii="Times New Roman" w:eastAsia="仿宋_GB2312"/>
          <w:b w:val="0"/>
          <w:sz w:val="30"/>
          <w:szCs w:val="30"/>
          <w:lang w:val="en-US" w:eastAsia="zh-CN"/>
        </w:rPr>
        <w:t>厉行节约，压减培训支出</w:t>
      </w:r>
      <w:r>
        <w:rPr>
          <w:rFonts w:ascii="Times New Roman" w:eastAsia="仿宋_GB2312"/>
          <w:b w:val="0"/>
          <w:sz w:val="30"/>
          <w:szCs w:val="30"/>
        </w:rPr>
        <w:t>。</w:t>
      </w:r>
    </w:p>
    <w:p w14:paraId="5AD5F905">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4.社会保障和就业支出（类）行政事业单位养老支出（款）事业单位离退休（项）年初预算为118,760.64元，支出决算为111,838.24元，完成年初预算的94.171%，决算数小于年初预算数的主要原因是</w:t>
      </w:r>
      <w:r>
        <w:rPr>
          <w:rFonts w:hint="eastAsia" w:ascii="Times New Roman" w:eastAsia="仿宋_GB2312"/>
          <w:b w:val="0"/>
          <w:sz w:val="30"/>
          <w:szCs w:val="30"/>
          <w:lang w:val="en-US" w:eastAsia="zh-CN"/>
        </w:rPr>
        <w:t>退休人员去世1人</w:t>
      </w:r>
      <w:r>
        <w:rPr>
          <w:rFonts w:ascii="Times New Roman" w:eastAsia="仿宋_GB2312"/>
          <w:b w:val="0"/>
          <w:sz w:val="30"/>
          <w:szCs w:val="30"/>
        </w:rPr>
        <w:t>。</w:t>
      </w:r>
    </w:p>
    <w:p w14:paraId="2D49A0ED">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5.社会保障和就业支出（类）行政事业单位养老支出（款）机关事业单位基本养老保险缴费支出（项）年初预算为236,764.80元，支出决算为235,806.76元，完成年初预算的99.595%，决算数小于年初预算数的主要原因是</w:t>
      </w:r>
      <w:r>
        <w:rPr>
          <w:rFonts w:hint="eastAsia" w:ascii="Times New Roman" w:eastAsia="仿宋_GB2312"/>
          <w:b w:val="0"/>
          <w:sz w:val="30"/>
          <w:szCs w:val="30"/>
          <w:lang w:val="en-US" w:eastAsia="zh-CN"/>
        </w:rPr>
        <w:t>按人员动态调整，实际发生列支，基本与预算持平</w:t>
      </w:r>
      <w:r>
        <w:rPr>
          <w:rFonts w:ascii="Times New Roman" w:eastAsia="仿宋_GB2312"/>
          <w:b w:val="0"/>
          <w:sz w:val="30"/>
          <w:szCs w:val="30"/>
        </w:rPr>
        <w:t>。</w:t>
      </w:r>
    </w:p>
    <w:p w14:paraId="186F9E39">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6.社会保障和就业支出（类）行政事业单位养老支出（款）机关事业单位职业年金缴费支出（项）年初预算为118,382.40元，支出决算为117,338.88元，完成年初预算的99.119%，决算数小于年初预算数的主要原因是</w:t>
      </w:r>
      <w:r>
        <w:rPr>
          <w:rFonts w:hint="eastAsia" w:ascii="Times New Roman" w:eastAsia="仿宋_GB2312"/>
          <w:b w:val="0"/>
          <w:sz w:val="30"/>
          <w:szCs w:val="30"/>
          <w:lang w:val="en-US" w:eastAsia="zh-CN"/>
        </w:rPr>
        <w:t>人员动态调整，按实际发生列支，基本与预算持平</w:t>
      </w:r>
      <w:r>
        <w:rPr>
          <w:rFonts w:ascii="Times New Roman" w:eastAsia="仿宋_GB2312"/>
          <w:b w:val="0"/>
          <w:sz w:val="30"/>
          <w:szCs w:val="30"/>
        </w:rPr>
        <w:t>。</w:t>
      </w:r>
    </w:p>
    <w:p w14:paraId="23B57A1B">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7.社会保障和就业支出（类）抚恤（款）死亡抚恤（项）年初预算为0.00元，支出决算为22,161.60元，决算数大于年初预算数的主要原因是</w:t>
      </w:r>
      <w:r>
        <w:rPr>
          <w:rFonts w:hint="eastAsia" w:ascii="Times New Roman" w:eastAsia="仿宋_GB2312"/>
          <w:b w:val="0"/>
          <w:sz w:val="30"/>
          <w:szCs w:val="30"/>
          <w:lang w:val="en-US" w:eastAsia="zh-CN"/>
        </w:rPr>
        <w:t>追加人员抚恤金支出</w:t>
      </w:r>
      <w:r>
        <w:rPr>
          <w:rFonts w:ascii="Times New Roman" w:eastAsia="仿宋_GB2312"/>
          <w:b w:val="0"/>
          <w:sz w:val="30"/>
          <w:szCs w:val="30"/>
        </w:rPr>
        <w:t>。</w:t>
      </w:r>
    </w:p>
    <w:p w14:paraId="1F211822">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8.卫生健康支出（类）行政事业单位医疗（款）事业单位医疗（项）年初预算为155,377.08元，支出决算为146,674.08元，完成年初预算的94.399%，决算数小于年初预算数的主要原因是</w:t>
      </w:r>
      <w:r>
        <w:rPr>
          <w:rFonts w:hint="eastAsia" w:ascii="Times New Roman" w:eastAsia="仿宋_GB2312"/>
          <w:b w:val="0"/>
          <w:sz w:val="30"/>
          <w:szCs w:val="30"/>
          <w:lang w:val="en-US" w:eastAsia="zh-CN"/>
        </w:rPr>
        <w:t>人员动态调整，按实际发生列支</w:t>
      </w:r>
      <w:r>
        <w:rPr>
          <w:rFonts w:ascii="Times New Roman" w:eastAsia="仿宋_GB2312"/>
          <w:b w:val="0"/>
          <w:sz w:val="30"/>
          <w:szCs w:val="30"/>
        </w:rPr>
        <w:t>。</w:t>
      </w:r>
    </w:p>
    <w:p w14:paraId="22A868E2">
      <w:pPr>
        <w:widowControl/>
        <w:spacing w:before="0" w:beforeLines="0" w:beforeAutospacing="0" w:after="0" w:afterLines="0" w:afterAutospacing="0" w:line="360" w:lineRule="auto"/>
        <w:ind w:firstLine="600" w:firstLineChars="200"/>
        <w:jc w:val="both"/>
        <w:rPr>
          <w:rFonts w:ascii="Times New Roman" w:eastAsia="仿宋_GB2312"/>
          <w:sz w:val="30"/>
          <w:szCs w:val="30"/>
        </w:rPr>
      </w:pPr>
      <w:r>
        <w:rPr>
          <w:rFonts w:ascii="Times New Roman" w:eastAsia="仿宋_GB2312"/>
          <w:b w:val="0"/>
          <w:sz w:val="30"/>
          <w:szCs w:val="30"/>
        </w:rPr>
        <w:t>9.卫生健康支出（类）行政事业单位医疗（款）其他行政事业单位医疗支出（项）年初预算为34,356.00元，支出决算为33,415.00元，完成年初预算的97.261%，决算数小于年初预算数的主要原因是</w:t>
      </w:r>
      <w:r>
        <w:rPr>
          <w:rFonts w:hint="eastAsia" w:ascii="Times New Roman" w:eastAsia="仿宋_GB2312"/>
          <w:b w:val="0"/>
          <w:sz w:val="30"/>
          <w:szCs w:val="30"/>
          <w:lang w:val="en-US" w:eastAsia="zh-CN"/>
        </w:rPr>
        <w:t>人员动态调整，按实际发生列支</w:t>
      </w:r>
      <w:r>
        <w:rPr>
          <w:rFonts w:ascii="Times New Roman" w:eastAsia="仿宋_GB2312"/>
          <w:b w:val="0"/>
          <w:sz w:val="30"/>
          <w:szCs w:val="30"/>
        </w:rPr>
        <w:t>。</w:t>
      </w:r>
    </w:p>
    <w:p w14:paraId="4159BA46">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14:paraId="0E5ED24F">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天津市西青区机关事务服务中心2024年度部门决算一般公共预算财政拨款基本支出合计66,989,645.97元，与2023年度相比减少8,629,602.95元，主要原因是</w:t>
      </w:r>
      <w:r>
        <w:rPr>
          <w:rFonts w:hint="eastAsia" w:ascii="Times New Roman" w:eastAsia="仿宋_GB2312"/>
          <w:b w:val="0"/>
          <w:sz w:val="30"/>
          <w:szCs w:val="30"/>
        </w:rPr>
        <w:t>物业费减少</w:t>
      </w:r>
      <w:r>
        <w:rPr>
          <w:rFonts w:ascii="Times New Roman" w:eastAsia="仿宋_GB2312"/>
          <w:b w:val="0"/>
          <w:sz w:val="30"/>
          <w:szCs w:val="30"/>
        </w:rPr>
        <w:t>。其中：</w:t>
      </w:r>
    </w:p>
    <w:p w14:paraId="5767723E">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3,525,541.79元，主要包括基本工资、津贴补贴、奖金、绩效工资、机关事业单位基本养老保险缴费、职业年金缴费、职工基本医疗保险缴费、其他社会保障缴费、住房公积金、医疗费、其他工资福利支出、退休费、医疗费补助和其他对个人和家庭的补助。</w:t>
      </w:r>
    </w:p>
    <w:p w14:paraId="214670C8">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63,464,104.18元，主要包括办公费、咨询费、手续费、水费、电费、邮电费、物业管理费、差旅费、维修(护)费、租赁费、培训费、委托业务费、工会经费、福利费、公务用车运行维护费、其他交通费用、税金及附加费用和其他商品和服务支出。</w:t>
      </w:r>
    </w:p>
    <w:p w14:paraId="252DC9C3">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14:paraId="3F28889E">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天津市西青区机关事务服务中心2024年度无政府性基金预算财政拨款收入、支出和结转结余。</w:t>
      </w:r>
    </w:p>
    <w:p w14:paraId="42014972">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14:paraId="03FD3417">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天津市西青区机关事务服务中心2024年度无国有资本经营预算财政拨款收入、支出和结转结余。</w:t>
      </w:r>
    </w:p>
    <w:p w14:paraId="5E6317D1">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14:paraId="3BECCF59">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14:paraId="01DFB049">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2024年财政拨款“三公”经费预算1,338,156.62元，支出决算1,338,156.62元，与2024年预算相比持平；支出决算较上年减少668,189.14元，下降33.304%。决算数与预算数持平的主要原因是</w:t>
      </w:r>
      <w:r>
        <w:rPr>
          <w:rFonts w:hint="eastAsia" w:ascii="Times New Roman" w:eastAsia="仿宋_GB2312"/>
          <w:b w:val="0"/>
          <w:sz w:val="30"/>
          <w:szCs w:val="30"/>
          <w:lang w:val="en-US" w:eastAsia="zh-CN"/>
        </w:rPr>
        <w:t>完全按照预算批复执行</w:t>
      </w:r>
      <w:r>
        <w:rPr>
          <w:rFonts w:ascii="Times New Roman" w:eastAsia="仿宋_GB2312"/>
          <w:b w:val="0"/>
          <w:sz w:val="30"/>
          <w:szCs w:val="30"/>
        </w:rPr>
        <w:t>；决算数较上年减少的主要原因是</w:t>
      </w:r>
      <w:r>
        <w:rPr>
          <w:rFonts w:hint="eastAsia" w:ascii="Times New Roman" w:eastAsia="仿宋_GB2312"/>
          <w:b w:val="0"/>
          <w:sz w:val="30"/>
          <w:szCs w:val="30"/>
          <w:lang w:val="en-US" w:eastAsia="zh-CN"/>
        </w:rPr>
        <w:t>厉行节约，合理安排公车使用，压减公车运维支出。此外，本年未用财政拨款列支公车购置费</w:t>
      </w:r>
      <w:r>
        <w:rPr>
          <w:rFonts w:ascii="Times New Roman" w:eastAsia="仿宋_GB2312"/>
          <w:b w:val="0"/>
          <w:sz w:val="30"/>
          <w:szCs w:val="30"/>
        </w:rPr>
        <w:t>。</w:t>
      </w:r>
    </w:p>
    <w:p w14:paraId="3C52A3CB">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14:paraId="0D86BF54">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本年未用财政拨款列支因公出国（境）费</w:t>
      </w:r>
      <w:r>
        <w:rPr>
          <w:rFonts w:ascii="Times New Roman" w:eastAsia="仿宋_GB2312"/>
          <w:b w:val="0"/>
          <w:sz w:val="30"/>
          <w:szCs w:val="30"/>
        </w:rPr>
        <w:t>；决算数较上年减少的主要原因是</w:t>
      </w:r>
      <w:r>
        <w:rPr>
          <w:rFonts w:hint="eastAsia" w:eastAsia="仿宋_GB2312"/>
          <w:sz w:val="30"/>
          <w:szCs w:val="30"/>
          <w:highlight w:val="none"/>
          <w:u w:val="none"/>
          <w:lang w:val="en-US" w:eastAsia="zh-CN"/>
        </w:rPr>
        <w:t>本年未用财政拨款列支因公出国（境）费</w:t>
      </w:r>
      <w:r>
        <w:rPr>
          <w:rFonts w:ascii="Times New Roman" w:eastAsia="仿宋_GB2312"/>
          <w:b w:val="0"/>
          <w:sz w:val="30"/>
          <w:szCs w:val="30"/>
        </w:rPr>
        <w:t>。</w:t>
      </w:r>
    </w:p>
    <w:p w14:paraId="316754E5">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14:paraId="75035216">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2.公务用车购置及运行维护费预算1,338,156.62元，支出决算1,338,156.62元，与预算相比持平；支出决算较上年减少668,189.14元，下降33.304%。决算数与预算数持平的主要原因是</w:t>
      </w:r>
      <w:r>
        <w:rPr>
          <w:rFonts w:hint="eastAsia" w:ascii="Times New Roman" w:eastAsia="仿宋_GB2312"/>
          <w:b w:val="0"/>
          <w:sz w:val="30"/>
          <w:szCs w:val="30"/>
          <w:lang w:val="en-US" w:eastAsia="zh-CN"/>
        </w:rPr>
        <w:t>完全按照预算批复执行</w:t>
      </w:r>
      <w:r>
        <w:rPr>
          <w:rFonts w:ascii="Times New Roman" w:eastAsia="仿宋_GB2312"/>
          <w:b w:val="0"/>
          <w:sz w:val="30"/>
          <w:szCs w:val="30"/>
        </w:rPr>
        <w:t>；决算数较上年减少的主要原因是</w:t>
      </w:r>
      <w:r>
        <w:rPr>
          <w:rFonts w:hint="eastAsia" w:ascii="Times New Roman" w:eastAsia="仿宋_GB2312"/>
          <w:b w:val="0"/>
          <w:sz w:val="30"/>
          <w:szCs w:val="30"/>
          <w:lang w:val="en-US" w:eastAsia="zh-CN"/>
        </w:rPr>
        <w:t>厉行节约，合理安排公车使用，压减公车运维支出</w:t>
      </w:r>
      <w:r>
        <w:rPr>
          <w:rFonts w:ascii="Times New Roman" w:eastAsia="仿宋_GB2312"/>
          <w:b w:val="0"/>
          <w:sz w:val="30"/>
          <w:szCs w:val="30"/>
        </w:rPr>
        <w:t>。其中：</w:t>
      </w:r>
    </w:p>
    <w:p w14:paraId="32EBA983">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公务用车运行维护费预算1,338,156.62元，支出决算1,338,156.62元，与预算相比持平；支出决算较上年减少158,989.14元，下降10.619%。决算数与预算数持平的主要原因是</w:t>
      </w:r>
      <w:r>
        <w:rPr>
          <w:rFonts w:hint="eastAsia" w:ascii="Times New Roman" w:eastAsia="仿宋_GB2312"/>
          <w:b w:val="0"/>
          <w:sz w:val="30"/>
          <w:szCs w:val="30"/>
          <w:lang w:val="en-US" w:eastAsia="zh-CN"/>
        </w:rPr>
        <w:t>完全按照预算批复执行</w:t>
      </w:r>
      <w:r>
        <w:rPr>
          <w:rFonts w:ascii="Times New Roman" w:eastAsia="仿宋_GB2312"/>
          <w:b w:val="0"/>
          <w:sz w:val="30"/>
          <w:szCs w:val="30"/>
        </w:rPr>
        <w:t>；决算数较上年减少的主要原因是</w:t>
      </w:r>
      <w:r>
        <w:rPr>
          <w:rFonts w:hint="eastAsia" w:ascii="Times New Roman" w:eastAsia="仿宋_GB2312"/>
          <w:b w:val="0"/>
          <w:sz w:val="30"/>
          <w:szCs w:val="30"/>
          <w:lang w:val="en-US" w:eastAsia="zh-CN"/>
        </w:rPr>
        <w:t>厉行节约，合理安排公车使用，压减公车运维支出</w:t>
      </w:r>
      <w:r>
        <w:rPr>
          <w:rFonts w:ascii="Times New Roman" w:eastAsia="仿宋_GB2312"/>
          <w:b w:val="0"/>
          <w:sz w:val="30"/>
          <w:szCs w:val="30"/>
        </w:rPr>
        <w:t>。</w:t>
      </w:r>
    </w:p>
    <w:p w14:paraId="04A474EC">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截至2024年12月31日，使用财政拨款开支运行维护费的公务用车保有量为106辆。</w:t>
      </w:r>
    </w:p>
    <w:p w14:paraId="14AF9747">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公务用车购置费预算0.00元，支出决算0.00元，与预算相比持平；支出决算较上年减少509,200.00元，下降100.000%。决算数与预算数持平的主要原因是</w:t>
      </w:r>
      <w:r>
        <w:rPr>
          <w:rFonts w:hint="eastAsia" w:ascii="Times New Roman" w:eastAsia="仿宋_GB2312"/>
          <w:b w:val="0"/>
          <w:sz w:val="30"/>
          <w:szCs w:val="30"/>
          <w:lang w:val="en-US" w:eastAsia="zh-CN"/>
        </w:rPr>
        <w:t>完全按照预算批复执行</w:t>
      </w:r>
      <w:r>
        <w:rPr>
          <w:rFonts w:ascii="Times New Roman" w:eastAsia="仿宋_GB2312"/>
          <w:b w:val="0"/>
          <w:sz w:val="30"/>
          <w:szCs w:val="30"/>
        </w:rPr>
        <w:t>；决算数较上年减少的</w:t>
      </w:r>
      <w:r>
        <w:rPr>
          <w:rFonts w:hint="eastAsia" w:ascii="Times New Roman" w:eastAsia="仿宋_GB2312"/>
          <w:b w:val="0"/>
          <w:sz w:val="30"/>
          <w:szCs w:val="30"/>
          <w:lang w:val="en-US" w:eastAsia="zh-CN"/>
        </w:rPr>
        <w:t>主要原因是</w:t>
      </w:r>
      <w:r>
        <w:rPr>
          <w:rFonts w:hint="eastAsia" w:eastAsia="仿宋_GB2312"/>
          <w:sz w:val="30"/>
          <w:szCs w:val="30"/>
          <w:highlight w:val="none"/>
          <w:u w:val="none"/>
          <w:lang w:val="en-US" w:eastAsia="zh-CN"/>
        </w:rPr>
        <w:t>本年未用财政拨款列支公务用车购置费</w:t>
      </w:r>
      <w:r>
        <w:rPr>
          <w:rFonts w:ascii="Times New Roman" w:eastAsia="仿宋_GB2312"/>
          <w:b w:val="0"/>
          <w:sz w:val="30"/>
          <w:szCs w:val="30"/>
        </w:rPr>
        <w:t>。</w:t>
      </w:r>
    </w:p>
    <w:p w14:paraId="1EF0D839">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14:paraId="7D82BE7E">
      <w:pPr>
        <w:widowControl/>
        <w:spacing w:before="0" w:beforeLines="0" w:beforeAutospacing="0" w:after="0" w:afterLines="0" w:afterAutospacing="0" w:line="360" w:lineRule="auto"/>
        <w:ind w:firstLine="600" w:firstLineChars="200"/>
        <w:jc w:val="left"/>
        <w:rPr>
          <w:rFonts w:ascii="Times New Roman" w:eastAsia="仿宋_GB2312"/>
          <w:b w:val="0"/>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eastAsia="仿宋_GB2312"/>
          <w:b w:val="0"/>
          <w:sz w:val="30"/>
          <w:szCs w:val="30"/>
          <w:lang w:val="en-US" w:eastAsia="zh-CN"/>
        </w:rPr>
        <w:t>本年未用财政拨款列支公务接待费</w:t>
      </w:r>
      <w:r>
        <w:rPr>
          <w:rFonts w:ascii="Times New Roman" w:eastAsia="仿宋_GB2312"/>
          <w:b w:val="0"/>
          <w:sz w:val="30"/>
          <w:szCs w:val="30"/>
        </w:rPr>
        <w:t>；决算数较上年持平的主要原因是</w:t>
      </w:r>
      <w:r>
        <w:rPr>
          <w:rFonts w:hint="eastAsia" w:ascii="Times New Roman" w:eastAsia="仿宋_GB2312"/>
          <w:b w:val="0"/>
          <w:sz w:val="30"/>
          <w:szCs w:val="30"/>
          <w:lang w:val="en-US" w:eastAsia="zh-CN"/>
        </w:rPr>
        <w:t>本年未用财政拨款列支公务接待费</w:t>
      </w:r>
      <w:r>
        <w:rPr>
          <w:rFonts w:ascii="Times New Roman" w:eastAsia="仿宋_GB2312"/>
          <w:b w:val="0"/>
          <w:sz w:val="30"/>
          <w:szCs w:val="30"/>
        </w:rPr>
        <w:t>。</w:t>
      </w:r>
    </w:p>
    <w:p w14:paraId="4EA0094B">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14:paraId="09C6B37D">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14:paraId="6A2EF273">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天津市西青区机关事务服务中心2024年度无机关运行经费。</w:t>
      </w:r>
    </w:p>
    <w:p w14:paraId="1ED18ABD">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14:paraId="0430A15E">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天津市西青区机关事务服务中心2024年政府采购支出总额47,329,682.00元，其中：政府采购工程支出3,847,773.00元、政府采购服务支出43,481,909.00元。</w:t>
      </w:r>
    </w:p>
    <w:p w14:paraId="195942C4">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授予中小企业合同金额4,341,524.00元，占政府采购支出总额的9.173%，其中：授予小微企业合同金额4,341,524.00元，占政府采购支出总额的9.173%；工程采购授予中小企业合同金额占工程支出金额的100.000%，服务采购授予中小企业合同金额占服务支出金额的1.136%。</w:t>
      </w:r>
    </w:p>
    <w:p w14:paraId="679AA39B">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14:paraId="20174521">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天津市西青区机关事务服务中心共有车辆106辆，其中：主要负责人用车4辆、机要通信用车13辆、应急保障用车20辆、执法执勤用车50辆、特种专业技术用车19辆。单价100万元以上的设备4台（套）。</w:t>
      </w:r>
    </w:p>
    <w:p w14:paraId="558F1799">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14:paraId="6298BC1B">
      <w:pPr>
        <w:widowControl/>
        <w:spacing w:before="0" w:beforeLines="0" w:beforeAutospacing="0" w:after="0" w:afterLines="0" w:afterAutospacing="0" w:line="360" w:lineRule="auto"/>
        <w:ind w:firstLine="600" w:firstLineChars="200"/>
        <w:jc w:val="left"/>
        <w:rPr>
          <w:rFonts w:ascii="Times New Roman" w:eastAsia="仿宋_GB2312"/>
          <w:b w:val="0"/>
          <w:sz w:val="30"/>
          <w:szCs w:val="30"/>
        </w:rPr>
      </w:pPr>
      <w:r>
        <w:rPr>
          <w:rFonts w:hint="eastAsia" w:ascii="Times New Roman" w:eastAsia="仿宋_GB2312"/>
          <w:b w:val="0"/>
          <w:sz w:val="30"/>
          <w:szCs w:val="30"/>
          <w:lang w:val="en-US"/>
        </w:rPr>
        <w:t>根据预算绩效管理要求，</w:t>
      </w:r>
      <w:r>
        <w:rPr>
          <w:rFonts w:ascii="Times New Roman" w:eastAsia="仿宋_GB2312"/>
          <w:b w:val="0"/>
          <w:sz w:val="30"/>
          <w:szCs w:val="30"/>
        </w:rPr>
        <w:t>天津市西青区机关事务服务中心</w:t>
      </w:r>
      <w:r>
        <w:rPr>
          <w:rFonts w:hint="eastAsia" w:ascii="Times New Roman" w:eastAsia="仿宋_GB2312"/>
          <w:b w:val="0"/>
          <w:sz w:val="30"/>
          <w:szCs w:val="30"/>
          <w:lang w:val="en-US"/>
        </w:rPr>
        <w:t>已对</w:t>
      </w:r>
      <w:r>
        <w:rPr>
          <w:rFonts w:hint="eastAsia" w:ascii="Times New Roman" w:eastAsia="仿宋_GB2312"/>
          <w:b w:val="0"/>
          <w:sz w:val="30"/>
          <w:szCs w:val="30"/>
          <w:lang w:val="en-US" w:eastAsia="zh-CN"/>
        </w:rPr>
        <w:t>7</w:t>
      </w:r>
      <w:r>
        <w:rPr>
          <w:rFonts w:hint="eastAsia" w:ascii="Times New Roman" w:eastAsia="仿宋_GB2312"/>
          <w:b w:val="0"/>
          <w:sz w:val="30"/>
          <w:szCs w:val="30"/>
          <w:lang w:val="en-US"/>
        </w:rPr>
        <w:t>个202</w:t>
      </w:r>
      <w:r>
        <w:rPr>
          <w:rFonts w:hint="eastAsia" w:ascii="Times New Roman" w:eastAsia="仿宋_GB2312"/>
          <w:b w:val="0"/>
          <w:sz w:val="30"/>
          <w:szCs w:val="30"/>
          <w:lang w:val="en-US" w:eastAsia="zh-CN"/>
        </w:rPr>
        <w:t>4</w:t>
      </w:r>
      <w:r>
        <w:rPr>
          <w:rFonts w:hint="eastAsia" w:ascii="Times New Roman" w:eastAsia="仿宋_GB2312"/>
          <w:b w:val="0"/>
          <w:sz w:val="30"/>
          <w:szCs w:val="30"/>
          <w:lang w:val="en-US"/>
        </w:rPr>
        <w:t>年度项目开展绩效自评，涉及金额</w:t>
      </w:r>
      <w:r>
        <w:rPr>
          <w:rFonts w:hint="eastAsia" w:ascii="Times New Roman" w:eastAsia="仿宋_GB2312"/>
          <w:b w:val="0"/>
          <w:sz w:val="30"/>
          <w:szCs w:val="30"/>
          <w:lang w:val="en-US" w:eastAsia="zh-CN"/>
        </w:rPr>
        <w:t>15,251,258.13</w:t>
      </w:r>
      <w:r>
        <w:rPr>
          <w:rFonts w:hint="eastAsia" w:ascii="Times New Roman" w:eastAsia="仿宋_GB2312"/>
          <w:b w:val="0"/>
          <w:sz w:val="30"/>
          <w:szCs w:val="30"/>
          <w:lang w:val="en-US"/>
        </w:rPr>
        <w:t>元，自评结果已随部门决算一并公开。</w:t>
      </w:r>
      <w:r>
        <w:rPr>
          <w:rFonts w:hint="eastAsia" w:ascii="Times New Roman" w:eastAsia="仿宋_GB2312"/>
          <w:b w:val="0"/>
          <w:sz w:val="30"/>
          <w:szCs w:val="30"/>
          <w:lang w:eastAsia="zh-CN"/>
        </w:rPr>
        <w:t>本部门202</w:t>
      </w:r>
      <w:r>
        <w:rPr>
          <w:rFonts w:hint="eastAsia" w:ascii="Times New Roman" w:eastAsia="仿宋_GB2312"/>
          <w:b w:val="0"/>
          <w:sz w:val="30"/>
          <w:szCs w:val="30"/>
          <w:lang w:val="en-US" w:eastAsia="zh-CN"/>
        </w:rPr>
        <w:t>4</w:t>
      </w:r>
      <w:r>
        <w:rPr>
          <w:rFonts w:hint="eastAsia" w:ascii="Times New Roman" w:eastAsia="仿宋_GB2312"/>
          <w:b w:val="0"/>
          <w:sz w:val="30"/>
          <w:szCs w:val="30"/>
          <w:lang w:eastAsia="zh-CN"/>
        </w:rPr>
        <w:t>年度未开展部门评价。</w:t>
      </w:r>
    </w:p>
    <w:p w14:paraId="60A2C366">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14:paraId="7FC7CB80">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r>
        <w:rPr>
          <w:rFonts w:ascii="Times New Roman" w:eastAsia="仿宋_GB2312"/>
          <w:b w:val="0"/>
          <w:sz w:val="30"/>
          <w:szCs w:val="30"/>
        </w:rPr>
        <w:t>天津市西青区机关事务服务中心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7948989">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49724BBE">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38EFD84C">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30EF91B2">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745EC168">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468AF911">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0202BD74">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3F72D6D9">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549F8BEC">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629D5140">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0C90DA1A">
      <w:pPr>
        <w:widowControl/>
        <w:spacing w:before="0" w:beforeLines="0" w:beforeAutospacing="0" w:after="0" w:afterLines="0" w:afterAutospacing="0" w:line="360" w:lineRule="auto"/>
        <w:ind w:firstLine="600" w:firstLineChars="200"/>
        <w:jc w:val="left"/>
        <w:rPr>
          <w:rFonts w:hint="eastAsia" w:ascii="仿宋" w:hAnsi="仿宋" w:eastAsia="仿宋"/>
          <w:color w:val="auto"/>
          <w:sz w:val="30"/>
          <w:szCs w:val="24"/>
          <w:lang w:val="en-US"/>
        </w:rPr>
      </w:pPr>
    </w:p>
    <w:p w14:paraId="6B60B00E">
      <w:pPr>
        <w:widowControl/>
        <w:spacing w:before="0" w:beforeLines="0" w:beforeAutospacing="0" w:after="0" w:afterLines="0" w:afterAutospacing="0" w:line="360" w:lineRule="auto"/>
        <w:jc w:val="center"/>
        <w:outlineLvl w:val="0"/>
        <w:rPr>
          <w:rFonts w:ascii="Fz_S_BiaoSong_Jt" w:eastAsia="Fz_S_BiaoSong_Jt"/>
          <w:sz w:val="44"/>
          <w:szCs w:val="44"/>
        </w:rPr>
      </w:pPr>
      <w:r>
        <w:rPr>
          <w:rFonts w:ascii="Fz_S_BiaoSong_Jt" w:eastAsia="Fz_S_BiaoSong_Jt"/>
          <w:b/>
          <w:sz w:val="44"/>
          <w:szCs w:val="44"/>
        </w:rPr>
        <w:t>第四部分</w:t>
      </w:r>
      <w:r>
        <w:rPr>
          <w:rFonts w:hint="eastAsia" w:ascii="Fz_S_BiaoSong_Jt" w:eastAsia="宋体"/>
          <w:b/>
          <w:sz w:val="44"/>
          <w:szCs w:val="44"/>
          <w:lang w:val="en-US" w:eastAsia="zh-CN"/>
        </w:rPr>
        <w:t xml:space="preserve"> </w:t>
      </w:r>
      <w:bookmarkStart w:id="0" w:name="_GoBack"/>
      <w:bookmarkEnd w:id="0"/>
      <w:r>
        <w:rPr>
          <w:rFonts w:ascii="Fz_S_BiaoSong_Jt" w:eastAsia="Fz_S_BiaoSong_Jt"/>
          <w:b/>
          <w:sz w:val="44"/>
          <w:szCs w:val="44"/>
        </w:rPr>
        <w:t>名词解释</w:t>
      </w:r>
    </w:p>
    <w:p w14:paraId="6A57756D">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4A13E56">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2B5C14D">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14:paraId="630D054B">
      <w:pPr>
        <w:widowControl/>
        <w:spacing w:before="0" w:beforeLines="0" w:beforeAutospacing="0" w:after="0" w:afterLines="0" w:afterAutospacing="0" w:line="360" w:lineRule="auto"/>
        <w:ind w:firstLine="640" w:firstLineChars="200"/>
        <w:jc w:val="left"/>
        <w:rPr>
          <w:rFonts w:ascii="Times New Roman" w:eastAsia="仿宋_GB2312"/>
          <w:sz w:val="32"/>
          <w:szCs w:val="32"/>
        </w:rPr>
      </w:pPr>
    </w:p>
    <w:p w14:paraId="7EA753ED">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7094EE-6E33-4703-A3F0-541AB565649C}"/>
  </w:font>
  <w:font w:name="黑体">
    <w:panose1 w:val="02010609060101010101"/>
    <w:charset w:val="86"/>
    <w:family w:val="auto"/>
    <w:pitch w:val="default"/>
    <w:sig w:usb0="800002BF" w:usb1="38CF7CFA" w:usb2="00000016" w:usb3="00000000" w:csb0="00040001" w:csb1="00000000"/>
    <w:embedRegular r:id="rId2" w:fontKey="{F1D51783-6B8A-4EBE-B205-42B40DA8C7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328904AD-469C-42F4-A945-7FBF8A9D765E}"/>
  </w:font>
  <w:font w:name="Calibri Light">
    <w:panose1 w:val="020F0302020204030204"/>
    <w:charset w:val="00"/>
    <w:family w:val="auto"/>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0000000000000000000"/>
    <w:charset w:val="86"/>
    <w:family w:val="auto"/>
    <w:pitch w:val="default"/>
    <w:sig w:usb0="00000000" w:usb1="00000000" w:usb2="00000000" w:usb3="00000000" w:csb0="00040000" w:csb1="00000000"/>
    <w:embedRegular r:id="rId4" w:fontKey="{52FB790E-CA13-4C16-B7AE-4FA989908F2F}"/>
  </w:font>
  <w:font w:name="Fz_S_BiaoSong_Jt">
    <w:altName w:val="Segoe Print"/>
    <w:panose1 w:val="00000000000000000000"/>
    <w:charset w:val="00"/>
    <w:family w:val="auto"/>
    <w:pitch w:val="default"/>
    <w:sig w:usb0="00000000" w:usb1="00000000" w:usb2="00000000" w:usb3="00000000" w:csb0="00000000" w:csb1="00000000"/>
    <w:embedRegular r:id="rId5" w:fontKey="{69914C11-1AED-4B1E-8FDD-5F04F88B9646}"/>
  </w:font>
  <w:font w:name="仿宋_GB2312">
    <w:altName w:val="仿宋"/>
    <w:panose1 w:val="00000000000000000000"/>
    <w:charset w:val="00"/>
    <w:family w:val="auto"/>
    <w:pitch w:val="default"/>
    <w:sig w:usb0="00000000" w:usb1="00000000" w:usb2="00000000" w:usb3="00000000" w:csb0="00000000" w:csb1="00000000"/>
    <w:embedRegular r:id="rId6" w:fontKey="{83FF16D8-8A99-43DE-A89B-83780BE299FF}"/>
  </w:font>
  <w:font w:name="宋体-简">
    <w:altName w:val="宋体"/>
    <w:panose1 w:val="02010800040101010101"/>
    <w:charset w:val="86"/>
    <w:family w:val="auto"/>
    <w:pitch w:val="default"/>
    <w:sig w:usb0="00000000" w:usb1="00000000" w:usb2="00000000" w:usb3="00000000" w:csb0="00040000" w:csb1="00000000"/>
    <w:embedRegular r:id="rId7" w:fontKey="{E4519BF5-9FF9-4BCF-B580-B9702AE1D8E9}"/>
  </w:font>
  <w:font w:name="方正仿宋_GB2312">
    <w:panose1 w:val="02000000000000000000"/>
    <w:charset w:val="86"/>
    <w:family w:val="auto"/>
    <w:pitch w:val="default"/>
    <w:sig w:usb0="A00002BF" w:usb1="184F6CFA" w:usb2="00000012" w:usb3="00000000" w:csb0="00040001" w:csb1="00000000"/>
    <w:embedRegular r:id="rId8" w:fontKey="{1D9716BB-A316-4E20-80C5-FF32F23C48ED}"/>
  </w:font>
  <w:font w:name="楷体">
    <w:panose1 w:val="02010609060101010101"/>
    <w:charset w:val="86"/>
    <w:family w:val="auto"/>
    <w:pitch w:val="default"/>
    <w:sig w:usb0="800002BF" w:usb1="38CF7CFA" w:usb2="00000016" w:usb3="00000000" w:csb0="00040001" w:csb1="00000000"/>
    <w:embedRegular r:id="rId9" w:fontKey="{771BD2BF-89E4-49D2-AC23-0322DA7FEFF4}"/>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28E30">
    <w:pPr>
      <w:pStyle w:val="8"/>
      <w:jc w:val="center"/>
    </w:pPr>
  </w:p>
  <w:p w14:paraId="78BED55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86E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3D49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jksImhkaWQiOiJiMzk2N2EzZjUyYWViODRjZjJhMDZjM2YyYjk4MTExMiIsInVzZXJDb3VudCI6MX0="/>
  </w:docVars>
  <w:rsids>
    <w:rsidRoot w:val="00000000"/>
    <w:rsid w:val="00086151"/>
    <w:rsid w:val="00236F8C"/>
    <w:rsid w:val="00822154"/>
    <w:rsid w:val="00C65689"/>
    <w:rsid w:val="00CC2C8E"/>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691FC5"/>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44BDB"/>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D7ECED1"/>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361177"/>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E1057AF"/>
    <w:rsid w:val="3E6C0DFA"/>
    <w:rsid w:val="3E740322"/>
    <w:rsid w:val="3E7F4380"/>
    <w:rsid w:val="3E8D171B"/>
    <w:rsid w:val="3EA5630D"/>
    <w:rsid w:val="3EBA731B"/>
    <w:rsid w:val="3EE33949"/>
    <w:rsid w:val="3EEACD73"/>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C4343"/>
    <w:rsid w:val="4F416688"/>
    <w:rsid w:val="4F5620B0"/>
    <w:rsid w:val="4F616EB4"/>
    <w:rsid w:val="4F6654EE"/>
    <w:rsid w:val="4F7379C6"/>
    <w:rsid w:val="4F872BDB"/>
    <w:rsid w:val="4FA033E9"/>
    <w:rsid w:val="4FA743DA"/>
    <w:rsid w:val="4FB3565A"/>
    <w:rsid w:val="4FC4714D"/>
    <w:rsid w:val="503D1C79"/>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6232437"/>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BBFF12"/>
    <w:rsid w:val="5DC92CE9"/>
    <w:rsid w:val="5DE23CB3"/>
    <w:rsid w:val="5DE97EEC"/>
    <w:rsid w:val="5DFA5EB0"/>
    <w:rsid w:val="5E000E4D"/>
    <w:rsid w:val="5E0B583E"/>
    <w:rsid w:val="5E201A7B"/>
    <w:rsid w:val="5EA45884"/>
    <w:rsid w:val="5EBD0484"/>
    <w:rsid w:val="5F2C5C7C"/>
    <w:rsid w:val="5F36141C"/>
    <w:rsid w:val="5FC5273F"/>
    <w:rsid w:val="5FDD0C57"/>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5D716AA"/>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5AB798"/>
    <w:rsid w:val="6FA14A81"/>
    <w:rsid w:val="6FA3261F"/>
    <w:rsid w:val="6FA59283"/>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3177841"/>
    <w:rsid w:val="733774FE"/>
    <w:rsid w:val="73617E1B"/>
    <w:rsid w:val="736D7653"/>
    <w:rsid w:val="738035CB"/>
    <w:rsid w:val="73852C46"/>
    <w:rsid w:val="7396335C"/>
    <w:rsid w:val="73F46595"/>
    <w:rsid w:val="73FBB56E"/>
    <w:rsid w:val="74283FA2"/>
    <w:rsid w:val="742C135B"/>
    <w:rsid w:val="74463733"/>
    <w:rsid w:val="748A2F40"/>
    <w:rsid w:val="74D84FF7"/>
    <w:rsid w:val="74F35FB8"/>
    <w:rsid w:val="74F85778"/>
    <w:rsid w:val="75272439"/>
    <w:rsid w:val="758F1E9B"/>
    <w:rsid w:val="75CE266B"/>
    <w:rsid w:val="76120141"/>
    <w:rsid w:val="768216BE"/>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936F45"/>
    <w:rsid w:val="7BA47419"/>
    <w:rsid w:val="7BB10D45"/>
    <w:rsid w:val="7BB44151"/>
    <w:rsid w:val="7C656A39"/>
    <w:rsid w:val="7CB93996"/>
    <w:rsid w:val="7CBE0F99"/>
    <w:rsid w:val="7D09357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8E7B9B6B"/>
    <w:rsid w:val="AFFFAB52"/>
    <w:rsid w:val="BDDD45B9"/>
    <w:rsid w:val="BDDF7127"/>
    <w:rsid w:val="BFA54E51"/>
    <w:rsid w:val="CDF70E8B"/>
    <w:rsid w:val="D3E60E83"/>
    <w:rsid w:val="DB4FE050"/>
    <w:rsid w:val="DFBD6FEF"/>
    <w:rsid w:val="DFDB6FA4"/>
    <w:rsid w:val="E2DE949D"/>
    <w:rsid w:val="E4C8A119"/>
    <w:rsid w:val="E9EF6F43"/>
    <w:rsid w:val="EDFFE889"/>
    <w:rsid w:val="EEE74D43"/>
    <w:rsid w:val="EF7BA4A3"/>
    <w:rsid w:val="F4B59182"/>
    <w:rsid w:val="F997E54E"/>
    <w:rsid w:val="FB4C53D1"/>
    <w:rsid w:val="FBEF8F85"/>
    <w:rsid w:val="FCE5F63C"/>
    <w:rsid w:val="FD6FC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34</Pages>
  <Words>679</Words>
  <Characters>694</Characters>
  <Lines>86</Lines>
  <Paragraphs>24</Paragraphs>
  <TotalTime>8</TotalTime>
  <ScaleCrop>false</ScaleCrop>
  <LinksUpToDate>false</LinksUpToDate>
  <CharactersWithSpaces>696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2023-08-05T23:55:00Z</dcterms:created>
  <dc:creator>王明新TIAD</dc:creator>
  <cp:lastModifiedBy>葉絡隨風</cp:lastModifiedBy>
  <cp:lastPrinted>2023-08-05T17:00:00Z</cp:lastPrinted>
  <dcterms:modified xsi:type="dcterms:W3CDTF">2025-08-25T23:37:31Z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eyJoZGlkIjoiYzc2ODlkMjk0YTBiNDMwOGNkMDBlYzM3MDdlODM3MDIiLCJ1c2VySWQiOiI1MzI3MjkwMjgifQ==</vt:lpwstr>
  </property>
</Properties>
</file>