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8E292">
      <w:pPr>
        <w:spacing w:line="2600" w:lineRule="exact"/>
        <w:ind w:firstLine="0"/>
        <w:jc w:val="center"/>
      </w:pPr>
      <w:r>
        <w:rPr>
          <w:rFonts w:ascii="方正小标宋简体" w:hAnsi="方正小标宋简体" w:eastAsia="方正小标宋简体" w:cs="方正小标宋简体"/>
          <w:b/>
          <w:color w:val="000000"/>
          <w:sz w:val="48"/>
        </w:rPr>
        <w:t>天津市西青区教育局</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2025年度部门预算公开</w:t>
      </w:r>
    </w:p>
    <w:p w14:paraId="455B8905">
      <w:pPr>
        <w:pageBreakBefore/>
        <w:spacing w:line="560" w:lineRule="exact"/>
        <w:ind w:firstLine="0"/>
        <w:jc w:val="center"/>
      </w:pPr>
      <w:r>
        <w:rPr>
          <w:rFonts w:ascii="黑体" w:hAnsi="黑体" w:eastAsia="黑体" w:cs="黑体"/>
          <w:b/>
          <w:color w:val="000000"/>
          <w:sz w:val="44"/>
        </w:rPr>
        <w:t>目    录</w:t>
      </w:r>
    </w:p>
    <w:p w14:paraId="39D84B4D">
      <w:pPr>
        <w:spacing w:line="560" w:lineRule="exact"/>
        <w:ind w:firstLine="900"/>
        <w:jc w:val="both"/>
      </w:pPr>
      <w:r>
        <w:rPr>
          <w:rFonts w:ascii="仿宋" w:hAnsi="仿宋" w:eastAsia="仿宋" w:cs="仿宋"/>
          <w:b/>
          <w:color w:val="000000"/>
          <w:sz w:val="30"/>
        </w:rPr>
        <w:t>第一部分  概况</w:t>
      </w:r>
    </w:p>
    <w:p w14:paraId="548A485E">
      <w:pPr>
        <w:spacing w:line="560" w:lineRule="exact"/>
        <w:ind w:firstLine="900"/>
        <w:jc w:val="both"/>
      </w:pPr>
      <w:r>
        <w:rPr>
          <w:rFonts w:ascii="仿宋" w:hAnsi="仿宋" w:eastAsia="仿宋" w:cs="仿宋"/>
          <w:b w:val="0"/>
          <w:color w:val="000000"/>
          <w:sz w:val="30"/>
        </w:rPr>
        <w:t>一、主要职责</w:t>
      </w:r>
    </w:p>
    <w:p w14:paraId="06D51530">
      <w:pPr>
        <w:spacing w:line="560" w:lineRule="exact"/>
        <w:ind w:firstLine="900"/>
        <w:jc w:val="both"/>
      </w:pPr>
      <w:r>
        <w:rPr>
          <w:rFonts w:ascii="仿宋" w:hAnsi="仿宋" w:eastAsia="仿宋" w:cs="仿宋"/>
          <w:b w:val="0"/>
          <w:color w:val="000000"/>
          <w:sz w:val="30"/>
        </w:rPr>
        <w:t>二、机构设置情况</w:t>
      </w:r>
    </w:p>
    <w:p w14:paraId="3E6E7BCB">
      <w:pPr>
        <w:spacing w:line="560" w:lineRule="exact"/>
        <w:ind w:firstLine="900"/>
        <w:jc w:val="both"/>
      </w:pPr>
      <w:r>
        <w:rPr>
          <w:rFonts w:ascii="仿宋" w:hAnsi="仿宋" w:eastAsia="仿宋" w:cs="仿宋"/>
          <w:b/>
          <w:color w:val="000000"/>
          <w:sz w:val="30"/>
        </w:rPr>
        <w:t>第二部分  2025年部门情况说明</w:t>
      </w:r>
    </w:p>
    <w:p w14:paraId="57B086A2">
      <w:pPr>
        <w:spacing w:line="560" w:lineRule="exact"/>
        <w:ind w:firstLine="900"/>
        <w:jc w:val="both"/>
      </w:pPr>
      <w:r>
        <w:rPr>
          <w:rFonts w:ascii="仿宋" w:hAnsi="仿宋" w:eastAsia="仿宋" w:cs="仿宋"/>
          <w:b w:val="0"/>
          <w:color w:val="000000"/>
          <w:sz w:val="30"/>
        </w:rPr>
        <w:t>一、关于收支总体情况表的说明</w:t>
      </w:r>
    </w:p>
    <w:p w14:paraId="2F8DE6D4">
      <w:pPr>
        <w:spacing w:line="560" w:lineRule="exact"/>
        <w:ind w:firstLine="900"/>
        <w:jc w:val="both"/>
      </w:pPr>
      <w:r>
        <w:rPr>
          <w:rFonts w:ascii="仿宋" w:hAnsi="仿宋" w:eastAsia="仿宋" w:cs="仿宋"/>
          <w:b w:val="0"/>
          <w:color w:val="000000"/>
          <w:sz w:val="30"/>
        </w:rPr>
        <w:t>二、关于收入总体情况表的说明</w:t>
      </w:r>
    </w:p>
    <w:p w14:paraId="3E98A2BC">
      <w:pPr>
        <w:spacing w:line="560" w:lineRule="exact"/>
        <w:ind w:firstLine="900"/>
        <w:jc w:val="both"/>
      </w:pPr>
      <w:r>
        <w:rPr>
          <w:rFonts w:ascii="仿宋" w:hAnsi="仿宋" w:eastAsia="仿宋" w:cs="仿宋"/>
          <w:b w:val="0"/>
          <w:color w:val="000000"/>
          <w:sz w:val="30"/>
        </w:rPr>
        <w:t>三、关于支出总体情况表的说明</w:t>
      </w:r>
    </w:p>
    <w:p w14:paraId="49391767">
      <w:pPr>
        <w:spacing w:line="560" w:lineRule="exact"/>
        <w:ind w:firstLine="900"/>
        <w:jc w:val="both"/>
      </w:pPr>
      <w:r>
        <w:rPr>
          <w:rFonts w:ascii="仿宋" w:hAnsi="仿宋" w:eastAsia="仿宋" w:cs="仿宋"/>
          <w:b w:val="0"/>
          <w:color w:val="000000"/>
          <w:sz w:val="30"/>
        </w:rPr>
        <w:t>四、关于财政拨款收支总体情况表的说明</w:t>
      </w:r>
    </w:p>
    <w:p w14:paraId="26259C48">
      <w:pPr>
        <w:spacing w:line="560" w:lineRule="exact"/>
        <w:ind w:firstLine="900"/>
        <w:jc w:val="both"/>
      </w:pPr>
      <w:r>
        <w:rPr>
          <w:rFonts w:ascii="仿宋" w:hAnsi="仿宋" w:eastAsia="仿宋" w:cs="仿宋"/>
          <w:b w:val="0"/>
          <w:color w:val="000000"/>
          <w:sz w:val="30"/>
        </w:rPr>
        <w:t>五、关于一般公共预算支出情况表的说明</w:t>
      </w:r>
    </w:p>
    <w:p w14:paraId="2BC082EF">
      <w:pPr>
        <w:spacing w:line="560" w:lineRule="exact"/>
        <w:ind w:firstLine="900"/>
        <w:jc w:val="both"/>
      </w:pPr>
      <w:r>
        <w:rPr>
          <w:rFonts w:ascii="仿宋" w:hAnsi="仿宋" w:eastAsia="仿宋" w:cs="仿宋"/>
          <w:b w:val="0"/>
          <w:color w:val="000000"/>
          <w:sz w:val="30"/>
        </w:rPr>
        <w:t>六、关于一般公共预算基本支出情况表的说明</w:t>
      </w:r>
    </w:p>
    <w:p w14:paraId="33167ADB">
      <w:pPr>
        <w:spacing w:line="560" w:lineRule="exact"/>
        <w:ind w:firstLine="900"/>
        <w:jc w:val="both"/>
      </w:pPr>
      <w:r>
        <w:rPr>
          <w:rFonts w:ascii="仿宋" w:hAnsi="仿宋" w:eastAsia="仿宋" w:cs="仿宋"/>
          <w:b w:val="0"/>
          <w:color w:val="000000"/>
          <w:sz w:val="30"/>
        </w:rPr>
        <w:t>七、关于一般公共预算“三公”经费支出情况表的说明</w:t>
      </w:r>
    </w:p>
    <w:p w14:paraId="6BA5E202">
      <w:pPr>
        <w:spacing w:line="560" w:lineRule="exact"/>
        <w:ind w:firstLine="900"/>
        <w:jc w:val="both"/>
      </w:pPr>
      <w:r>
        <w:rPr>
          <w:rFonts w:ascii="仿宋" w:hAnsi="仿宋" w:eastAsia="仿宋" w:cs="仿宋"/>
          <w:b w:val="0"/>
          <w:color w:val="000000"/>
          <w:sz w:val="30"/>
        </w:rPr>
        <w:t>八、关于政府性基金预算支出情况表的说明</w:t>
      </w:r>
    </w:p>
    <w:p w14:paraId="5A3F8DC9">
      <w:pPr>
        <w:spacing w:line="560" w:lineRule="exact"/>
        <w:ind w:firstLine="900"/>
        <w:jc w:val="both"/>
      </w:pPr>
      <w:r>
        <w:rPr>
          <w:rFonts w:ascii="仿宋" w:hAnsi="仿宋" w:eastAsia="仿宋" w:cs="仿宋"/>
          <w:b w:val="0"/>
          <w:color w:val="000000"/>
          <w:sz w:val="30"/>
        </w:rPr>
        <w:t>九、关于国有资本经营预算支出情况表的说明</w:t>
      </w:r>
    </w:p>
    <w:p w14:paraId="09827727">
      <w:pPr>
        <w:spacing w:line="560" w:lineRule="exact"/>
        <w:ind w:firstLine="900"/>
        <w:jc w:val="both"/>
      </w:pPr>
      <w:r>
        <w:rPr>
          <w:rFonts w:ascii="仿宋" w:hAnsi="仿宋" w:eastAsia="仿宋" w:cs="仿宋"/>
          <w:b w:val="0"/>
          <w:color w:val="000000"/>
          <w:sz w:val="30"/>
        </w:rPr>
        <w:t>十、其他重要事项的情况说明</w:t>
      </w:r>
    </w:p>
    <w:p w14:paraId="789DFC41">
      <w:pPr>
        <w:spacing w:line="560" w:lineRule="exact"/>
        <w:ind w:firstLine="900"/>
        <w:jc w:val="both"/>
      </w:pPr>
      <w:r>
        <w:rPr>
          <w:rFonts w:ascii="仿宋" w:hAnsi="仿宋" w:eastAsia="仿宋" w:cs="仿宋"/>
          <w:b/>
          <w:color w:val="000000"/>
          <w:sz w:val="30"/>
        </w:rPr>
        <w:t>第三部分  名词解释</w:t>
      </w:r>
    </w:p>
    <w:p w14:paraId="2D53B3A1">
      <w:pPr>
        <w:spacing w:line="560" w:lineRule="exact"/>
        <w:ind w:firstLine="900"/>
        <w:jc w:val="both"/>
      </w:pPr>
      <w:r>
        <w:rPr>
          <w:rFonts w:ascii="仿宋" w:hAnsi="仿宋" w:eastAsia="仿宋" w:cs="仿宋"/>
          <w:b/>
          <w:color w:val="000000"/>
          <w:sz w:val="30"/>
        </w:rPr>
        <w:t>第四部分  2025年部门预算表</w:t>
      </w:r>
    </w:p>
    <w:p w14:paraId="0735822A">
      <w:pPr>
        <w:spacing w:line="560" w:lineRule="exact"/>
        <w:ind w:firstLine="900"/>
        <w:jc w:val="both"/>
      </w:pPr>
      <w:r>
        <w:rPr>
          <w:rFonts w:ascii="仿宋" w:hAnsi="仿宋" w:eastAsia="仿宋" w:cs="仿宋"/>
          <w:b w:val="0"/>
          <w:color w:val="000000"/>
          <w:sz w:val="30"/>
        </w:rPr>
        <w:t>一、部门收支总体情况表</w:t>
      </w:r>
    </w:p>
    <w:p w14:paraId="0EB05D62">
      <w:pPr>
        <w:spacing w:line="560" w:lineRule="exact"/>
        <w:ind w:firstLine="900"/>
        <w:jc w:val="both"/>
      </w:pPr>
      <w:r>
        <w:rPr>
          <w:rFonts w:ascii="仿宋" w:hAnsi="仿宋" w:eastAsia="仿宋" w:cs="仿宋"/>
          <w:b w:val="0"/>
          <w:color w:val="000000"/>
          <w:sz w:val="30"/>
        </w:rPr>
        <w:t>二、部门收入总体情况表</w:t>
      </w:r>
    </w:p>
    <w:p w14:paraId="4ECB3F3A">
      <w:pPr>
        <w:spacing w:line="560" w:lineRule="exact"/>
        <w:ind w:firstLine="900"/>
        <w:jc w:val="both"/>
      </w:pPr>
      <w:r>
        <w:rPr>
          <w:rFonts w:ascii="仿宋" w:hAnsi="仿宋" w:eastAsia="仿宋" w:cs="仿宋"/>
          <w:b w:val="0"/>
          <w:color w:val="000000"/>
          <w:sz w:val="30"/>
        </w:rPr>
        <w:t>三、部门支出总体情况表</w:t>
      </w:r>
    </w:p>
    <w:p w14:paraId="4F6CB652">
      <w:pPr>
        <w:spacing w:line="560" w:lineRule="exact"/>
        <w:ind w:firstLine="900"/>
        <w:jc w:val="both"/>
      </w:pPr>
      <w:r>
        <w:rPr>
          <w:rFonts w:ascii="仿宋" w:hAnsi="仿宋" w:eastAsia="仿宋" w:cs="仿宋"/>
          <w:b w:val="0"/>
          <w:color w:val="000000"/>
          <w:sz w:val="30"/>
        </w:rPr>
        <w:t>四、财政拨款收支总体情况表</w:t>
      </w:r>
    </w:p>
    <w:p w14:paraId="269929AB">
      <w:pPr>
        <w:spacing w:line="560" w:lineRule="exact"/>
        <w:ind w:firstLine="900"/>
        <w:jc w:val="both"/>
      </w:pPr>
      <w:r>
        <w:rPr>
          <w:rFonts w:ascii="仿宋" w:hAnsi="仿宋" w:eastAsia="仿宋" w:cs="仿宋"/>
          <w:b w:val="0"/>
          <w:color w:val="000000"/>
          <w:sz w:val="30"/>
        </w:rPr>
        <w:t>五、一般公共预算支出情况表</w:t>
      </w:r>
    </w:p>
    <w:p w14:paraId="6CCE9E0E">
      <w:pPr>
        <w:spacing w:line="560" w:lineRule="exact"/>
        <w:ind w:firstLine="900"/>
        <w:jc w:val="both"/>
      </w:pPr>
      <w:r>
        <w:rPr>
          <w:rFonts w:ascii="仿宋" w:hAnsi="仿宋" w:eastAsia="仿宋" w:cs="仿宋"/>
          <w:b w:val="0"/>
          <w:color w:val="000000"/>
          <w:sz w:val="30"/>
        </w:rPr>
        <w:t>六、一般公共预算基本支出情况表</w:t>
      </w:r>
    </w:p>
    <w:p w14:paraId="279CC0F1">
      <w:pPr>
        <w:spacing w:line="560" w:lineRule="exact"/>
        <w:ind w:firstLine="900"/>
        <w:jc w:val="both"/>
      </w:pPr>
      <w:r>
        <w:rPr>
          <w:rFonts w:ascii="仿宋" w:hAnsi="仿宋" w:eastAsia="仿宋" w:cs="仿宋"/>
          <w:b w:val="0"/>
          <w:color w:val="000000"/>
          <w:sz w:val="30"/>
        </w:rPr>
        <w:t>七、一般公共预算“三公”经费支出情况表</w:t>
      </w:r>
    </w:p>
    <w:p w14:paraId="440812EC">
      <w:pPr>
        <w:spacing w:line="560" w:lineRule="exact"/>
        <w:ind w:firstLine="900"/>
        <w:jc w:val="both"/>
      </w:pPr>
      <w:r>
        <w:rPr>
          <w:rFonts w:ascii="仿宋" w:hAnsi="仿宋" w:eastAsia="仿宋" w:cs="仿宋"/>
          <w:b w:val="0"/>
          <w:color w:val="000000"/>
          <w:sz w:val="30"/>
        </w:rPr>
        <w:t>八、政府性基金预算支出情况表</w:t>
      </w:r>
    </w:p>
    <w:p w14:paraId="03964860">
      <w:pPr>
        <w:spacing w:line="560" w:lineRule="exact"/>
        <w:ind w:firstLine="900"/>
        <w:jc w:val="both"/>
      </w:pPr>
      <w:r>
        <w:rPr>
          <w:rFonts w:ascii="仿宋" w:hAnsi="仿宋" w:eastAsia="仿宋" w:cs="仿宋"/>
          <w:b w:val="0"/>
          <w:color w:val="000000"/>
          <w:sz w:val="30"/>
        </w:rPr>
        <w:t>九、国有资本经营预算支出情况表</w:t>
      </w:r>
    </w:p>
    <w:p w14:paraId="7C418D34">
      <w:pPr>
        <w:spacing w:line="560" w:lineRule="exact"/>
        <w:ind w:firstLine="900"/>
        <w:jc w:val="both"/>
      </w:pPr>
      <w:r>
        <w:rPr>
          <w:rFonts w:ascii="仿宋" w:hAnsi="仿宋" w:eastAsia="仿宋" w:cs="仿宋"/>
          <w:b w:val="0"/>
          <w:color w:val="000000"/>
          <w:sz w:val="30"/>
        </w:rPr>
        <w:t>十、项目支出表</w:t>
      </w:r>
    </w:p>
    <w:p w14:paraId="15E53EB4">
      <w:pPr>
        <w:spacing w:line="560" w:lineRule="exact"/>
        <w:ind w:firstLine="900"/>
        <w:jc w:val="both"/>
      </w:pPr>
      <w:r>
        <w:rPr>
          <w:rFonts w:ascii="仿宋" w:hAnsi="仿宋" w:eastAsia="仿宋" w:cs="仿宋"/>
          <w:b w:val="0"/>
          <w:color w:val="000000"/>
          <w:sz w:val="30"/>
        </w:rPr>
        <w:t>十一、关于空表的说明</w:t>
      </w:r>
    </w:p>
    <w:p w14:paraId="5AB08891">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5721A688">
      <w:pPr>
        <w:spacing w:line="560" w:lineRule="exact"/>
        <w:ind w:firstLine="600"/>
        <w:jc w:val="both"/>
      </w:pPr>
      <w:r>
        <w:rPr>
          <w:rFonts w:ascii="黑体" w:hAnsi="黑体" w:eastAsia="黑体" w:cs="黑体"/>
          <w:b/>
          <w:color w:val="353232"/>
          <w:sz w:val="30"/>
        </w:rPr>
        <w:t>一、主要职责</w:t>
      </w:r>
    </w:p>
    <w:p w14:paraId="062B0779">
      <w:pPr>
        <w:spacing w:line="560" w:lineRule="exact"/>
        <w:ind w:firstLine="600"/>
        <w:jc w:val="both"/>
      </w:pPr>
      <w:r>
        <w:rPr>
          <w:rFonts w:ascii="仿宋" w:hAnsi="仿宋" w:eastAsia="仿宋" w:cs="仿宋"/>
          <w:b w:val="0"/>
          <w:color w:val="000000"/>
          <w:sz w:val="30"/>
        </w:rPr>
        <w:t>天津市西青区教育局主要职责是贯彻执行党和国家关于教育工作的法律、法规和方针、政策。研究拟订全区教育事业发展规划和计划，推进全区教育体制改革，拟订教育事业发展的重点、结构和速度，并组织实施。负责全面推进素质教育，指导学校的德育、智育、体育、卫生、艺术教育、学生军训和国防教育等工作。负责科学管理全区各级各类学校；指导、管理基础教育，统筹管理幼儿教育、职业技术教育、成人教育以及社会力量办学；制定并完善各项管理办法，促进教育教学质量的全面提高。参与拟订改革和完善教育体制的政策、措施，落实筹措教育经费的各项措施，监测教育经费筹措和使用情况；负责全区教育经费的管理。指导全区教育改革和发展的理论研究，指导全区各级各类教育教学研究，搞好师资培训，提高教师素质。组织和管理全区各级各类学校的招生考试工作。协同有关部门改善办学条件和教师生活条件。代表区人民政府对镇人民政府、街办事处及其他有关行政部门的教育管理情况进行督导；负责全区教育工作的督导和评估及基本信息的统计、分析和发布工作。负责全区教育系统对外交流与合作工作。承办区委、区人民政府交办的其他工作。</w:t>
      </w:r>
    </w:p>
    <w:p w14:paraId="05E7B668">
      <w:pPr>
        <w:spacing w:line="560" w:lineRule="exact"/>
        <w:ind w:firstLine="600"/>
        <w:jc w:val="both"/>
      </w:pPr>
      <w:r>
        <w:rPr>
          <w:rFonts w:ascii="黑体" w:hAnsi="黑体" w:eastAsia="黑体" w:cs="黑体"/>
          <w:b/>
          <w:color w:val="000000"/>
          <w:sz w:val="30"/>
        </w:rPr>
        <w:t>二、机构设置情况</w:t>
      </w:r>
    </w:p>
    <w:p w14:paraId="7EE158B8">
      <w:pPr>
        <w:spacing w:line="560" w:lineRule="exact"/>
        <w:ind w:firstLine="600"/>
        <w:jc w:val="both"/>
      </w:pPr>
      <w:r>
        <w:rPr>
          <w:rFonts w:ascii="仿宋" w:hAnsi="仿宋" w:eastAsia="仿宋" w:cs="仿宋"/>
          <w:b w:val="0"/>
          <w:color w:val="000000"/>
          <w:sz w:val="30"/>
        </w:rPr>
        <w:t>天津市西青区教育局部门内设11个职能科室；下辖29个预算单位。</w:t>
      </w:r>
    </w:p>
    <w:p w14:paraId="018C49ED">
      <w:pPr>
        <w:spacing w:line="560" w:lineRule="exact"/>
        <w:ind w:firstLine="600"/>
        <w:jc w:val="both"/>
      </w:pPr>
      <w:r>
        <w:rPr>
          <w:rFonts w:ascii="仿宋" w:hAnsi="仿宋" w:eastAsia="仿宋" w:cs="仿宋"/>
          <w:b w:val="0"/>
          <w:color w:val="000000"/>
          <w:sz w:val="30"/>
        </w:rPr>
        <w:t>纳入天津市西青区教育局部门2025年部门预算编制范围的预算单位包括：</w:t>
      </w:r>
    </w:p>
    <w:p w14:paraId="6B87AA3F">
      <w:pPr>
        <w:spacing w:line="560" w:lineRule="exact"/>
        <w:ind w:firstLine="600"/>
        <w:jc w:val="both"/>
      </w:pPr>
      <w:r>
        <w:rPr>
          <w:rFonts w:ascii="仿宋" w:hAnsi="仿宋" w:eastAsia="仿宋" w:cs="仿宋"/>
          <w:b w:val="0"/>
          <w:color w:val="000000"/>
          <w:sz w:val="30"/>
        </w:rPr>
        <w:t>1.天津市西青区教育局</w:t>
      </w:r>
    </w:p>
    <w:p w14:paraId="0A9F5BC4">
      <w:pPr>
        <w:spacing w:line="560" w:lineRule="exact"/>
        <w:ind w:firstLine="600"/>
        <w:jc w:val="both"/>
      </w:pPr>
      <w:r>
        <w:rPr>
          <w:rFonts w:ascii="仿宋" w:hAnsi="仿宋" w:eastAsia="仿宋" w:cs="仿宋"/>
          <w:b w:val="0"/>
          <w:color w:val="000000"/>
          <w:sz w:val="30"/>
        </w:rPr>
        <w:t>2.天津市西青区第一幼儿园</w:t>
      </w:r>
    </w:p>
    <w:p w14:paraId="543B0AA0">
      <w:pPr>
        <w:spacing w:line="560" w:lineRule="exact"/>
        <w:ind w:firstLine="600"/>
        <w:jc w:val="both"/>
      </w:pPr>
      <w:r>
        <w:rPr>
          <w:rFonts w:ascii="仿宋" w:hAnsi="仿宋" w:eastAsia="仿宋" w:cs="仿宋"/>
          <w:b w:val="0"/>
          <w:color w:val="000000"/>
          <w:sz w:val="30"/>
        </w:rPr>
        <w:t>3.天津市西青区第二幼儿园</w:t>
      </w:r>
    </w:p>
    <w:p w14:paraId="353A813B">
      <w:pPr>
        <w:spacing w:line="560" w:lineRule="exact"/>
        <w:ind w:firstLine="600"/>
        <w:jc w:val="both"/>
      </w:pPr>
      <w:r>
        <w:rPr>
          <w:rFonts w:ascii="仿宋" w:hAnsi="仿宋" w:eastAsia="仿宋" w:cs="仿宋"/>
          <w:b w:val="0"/>
          <w:color w:val="000000"/>
          <w:sz w:val="30"/>
        </w:rPr>
        <w:t>4.天津市西青区第三幼儿园</w:t>
      </w:r>
    </w:p>
    <w:p w14:paraId="2B29FEEE">
      <w:pPr>
        <w:spacing w:line="560" w:lineRule="exact"/>
        <w:ind w:firstLine="600"/>
        <w:jc w:val="both"/>
      </w:pPr>
      <w:r>
        <w:rPr>
          <w:rFonts w:ascii="仿宋" w:hAnsi="仿宋" w:eastAsia="仿宋" w:cs="仿宋"/>
          <w:b w:val="0"/>
          <w:color w:val="000000"/>
          <w:sz w:val="30"/>
        </w:rPr>
        <w:t>5.天津市西青区第四幼儿园</w:t>
      </w:r>
    </w:p>
    <w:p w14:paraId="724A68CD">
      <w:pPr>
        <w:spacing w:line="560" w:lineRule="exact"/>
        <w:ind w:firstLine="600"/>
        <w:jc w:val="both"/>
      </w:pPr>
      <w:r>
        <w:rPr>
          <w:rFonts w:ascii="仿宋" w:hAnsi="仿宋" w:eastAsia="仿宋" w:cs="仿宋"/>
          <w:b w:val="0"/>
          <w:color w:val="000000"/>
          <w:sz w:val="30"/>
        </w:rPr>
        <w:t>6.天津市西青区第五幼儿园</w:t>
      </w:r>
    </w:p>
    <w:p w14:paraId="734C44B3">
      <w:pPr>
        <w:spacing w:line="560" w:lineRule="exact"/>
        <w:ind w:firstLine="600"/>
        <w:jc w:val="both"/>
      </w:pPr>
      <w:r>
        <w:rPr>
          <w:rFonts w:ascii="仿宋" w:hAnsi="仿宋" w:eastAsia="仿宋" w:cs="仿宋"/>
          <w:b w:val="0"/>
          <w:color w:val="000000"/>
          <w:sz w:val="30"/>
        </w:rPr>
        <w:t>7.天津市西青区实验小学</w:t>
      </w:r>
    </w:p>
    <w:p w14:paraId="7C29DD4D">
      <w:pPr>
        <w:spacing w:line="560" w:lineRule="exact"/>
        <w:ind w:firstLine="600"/>
        <w:jc w:val="both"/>
      </w:pPr>
      <w:r>
        <w:rPr>
          <w:rFonts w:ascii="仿宋" w:hAnsi="仿宋" w:eastAsia="仿宋" w:cs="仿宋"/>
          <w:b w:val="0"/>
          <w:color w:val="000000"/>
          <w:sz w:val="30"/>
        </w:rPr>
        <w:t>8.天津市西青区大寺中学</w:t>
      </w:r>
    </w:p>
    <w:p w14:paraId="272A9E65">
      <w:pPr>
        <w:spacing w:line="560" w:lineRule="exact"/>
        <w:ind w:firstLine="600"/>
        <w:jc w:val="both"/>
      </w:pPr>
      <w:r>
        <w:rPr>
          <w:rFonts w:ascii="仿宋" w:hAnsi="仿宋" w:eastAsia="仿宋" w:cs="仿宋"/>
          <w:b w:val="0"/>
          <w:color w:val="000000"/>
          <w:sz w:val="30"/>
        </w:rPr>
        <w:t>9.天津市西青区王稳庄中学</w:t>
      </w:r>
    </w:p>
    <w:p w14:paraId="45D347B6">
      <w:pPr>
        <w:spacing w:line="560" w:lineRule="exact"/>
        <w:ind w:firstLine="600"/>
        <w:jc w:val="both"/>
      </w:pPr>
      <w:r>
        <w:rPr>
          <w:rFonts w:ascii="仿宋" w:hAnsi="仿宋" w:eastAsia="仿宋" w:cs="仿宋"/>
          <w:b w:val="0"/>
          <w:color w:val="000000"/>
          <w:sz w:val="30"/>
        </w:rPr>
        <w:t>10.天津市西青区精武中学</w:t>
      </w:r>
    </w:p>
    <w:p w14:paraId="6A561906">
      <w:pPr>
        <w:spacing w:line="560" w:lineRule="exact"/>
        <w:ind w:firstLine="600"/>
        <w:jc w:val="both"/>
      </w:pPr>
      <w:r>
        <w:rPr>
          <w:rFonts w:ascii="仿宋" w:hAnsi="仿宋" w:eastAsia="仿宋" w:cs="仿宋"/>
          <w:b w:val="0"/>
          <w:color w:val="000000"/>
          <w:sz w:val="30"/>
        </w:rPr>
        <w:t>11.天津市西青区中北中学</w:t>
      </w:r>
    </w:p>
    <w:p w14:paraId="7AE3FA76">
      <w:pPr>
        <w:spacing w:line="560" w:lineRule="exact"/>
        <w:ind w:firstLine="600"/>
        <w:jc w:val="both"/>
      </w:pPr>
      <w:r>
        <w:rPr>
          <w:rFonts w:ascii="仿宋" w:hAnsi="仿宋" w:eastAsia="仿宋" w:cs="仿宋"/>
          <w:b w:val="0"/>
          <w:color w:val="000000"/>
          <w:sz w:val="30"/>
        </w:rPr>
        <w:t>12.天津市西青区富力中学</w:t>
      </w:r>
    </w:p>
    <w:p w14:paraId="64694A04">
      <w:pPr>
        <w:spacing w:line="560" w:lineRule="exact"/>
        <w:ind w:firstLine="600"/>
        <w:jc w:val="both"/>
      </w:pPr>
      <w:r>
        <w:rPr>
          <w:rFonts w:ascii="仿宋" w:hAnsi="仿宋" w:eastAsia="仿宋" w:cs="仿宋"/>
          <w:b w:val="0"/>
          <w:color w:val="000000"/>
          <w:sz w:val="30"/>
        </w:rPr>
        <w:t>13.天津市西青区杨柳青第二中学</w:t>
      </w:r>
    </w:p>
    <w:p w14:paraId="30EE88A1">
      <w:pPr>
        <w:spacing w:line="560" w:lineRule="exact"/>
        <w:ind w:firstLine="600"/>
        <w:jc w:val="both"/>
      </w:pPr>
      <w:r>
        <w:rPr>
          <w:rFonts w:ascii="仿宋" w:hAnsi="仿宋" w:eastAsia="仿宋" w:cs="仿宋"/>
          <w:b w:val="0"/>
          <w:color w:val="000000"/>
          <w:sz w:val="30"/>
        </w:rPr>
        <w:t>14.天津市西青区杨柳青第三中学</w:t>
      </w:r>
    </w:p>
    <w:p w14:paraId="4B8D36C7">
      <w:pPr>
        <w:spacing w:line="560" w:lineRule="exact"/>
        <w:ind w:firstLine="600"/>
        <w:jc w:val="both"/>
      </w:pPr>
      <w:r>
        <w:rPr>
          <w:rFonts w:ascii="仿宋" w:hAnsi="仿宋" w:eastAsia="仿宋" w:cs="仿宋"/>
          <w:b w:val="0"/>
          <w:color w:val="000000"/>
          <w:sz w:val="30"/>
        </w:rPr>
        <w:t>15.天津市西青区张家窝中学</w:t>
      </w:r>
    </w:p>
    <w:p w14:paraId="0C6B533D">
      <w:pPr>
        <w:spacing w:line="560" w:lineRule="exact"/>
        <w:ind w:firstLine="600"/>
        <w:jc w:val="both"/>
      </w:pPr>
      <w:r>
        <w:rPr>
          <w:rFonts w:ascii="仿宋" w:hAnsi="仿宋" w:eastAsia="仿宋" w:cs="仿宋"/>
          <w:b w:val="0"/>
          <w:color w:val="000000"/>
          <w:sz w:val="30"/>
        </w:rPr>
        <w:t>16.天津市西青区杨柳青第四中学</w:t>
      </w:r>
    </w:p>
    <w:p w14:paraId="13018CB2">
      <w:pPr>
        <w:spacing w:line="560" w:lineRule="exact"/>
        <w:ind w:firstLine="600"/>
        <w:jc w:val="both"/>
      </w:pPr>
      <w:r>
        <w:rPr>
          <w:rFonts w:ascii="仿宋" w:hAnsi="仿宋" w:eastAsia="仿宋" w:cs="仿宋"/>
          <w:b w:val="0"/>
          <w:color w:val="000000"/>
          <w:sz w:val="30"/>
        </w:rPr>
        <w:t>17.天津市西青区当城中学</w:t>
      </w:r>
    </w:p>
    <w:p w14:paraId="5247794F">
      <w:pPr>
        <w:spacing w:line="560" w:lineRule="exact"/>
        <w:ind w:firstLine="600"/>
        <w:jc w:val="both"/>
      </w:pPr>
      <w:r>
        <w:rPr>
          <w:rFonts w:ascii="仿宋" w:hAnsi="仿宋" w:eastAsia="仿宋" w:cs="仿宋"/>
          <w:b w:val="0"/>
          <w:color w:val="000000"/>
          <w:sz w:val="30"/>
        </w:rPr>
        <w:t>18.天津市第九十五中学</w:t>
      </w:r>
    </w:p>
    <w:p w14:paraId="716098DE">
      <w:pPr>
        <w:spacing w:line="560" w:lineRule="exact"/>
        <w:ind w:firstLine="600"/>
        <w:jc w:val="both"/>
      </w:pPr>
      <w:r>
        <w:rPr>
          <w:rFonts w:ascii="仿宋" w:hAnsi="仿宋" w:eastAsia="仿宋" w:cs="仿宋"/>
          <w:b w:val="0"/>
          <w:color w:val="000000"/>
          <w:sz w:val="30"/>
        </w:rPr>
        <w:t>19.天津市西青区杨柳青第一中学</w:t>
      </w:r>
    </w:p>
    <w:p w14:paraId="00FB4456">
      <w:pPr>
        <w:spacing w:line="560" w:lineRule="exact"/>
        <w:ind w:firstLine="600"/>
        <w:jc w:val="both"/>
      </w:pPr>
      <w:r>
        <w:rPr>
          <w:rFonts w:ascii="仿宋" w:hAnsi="仿宋" w:eastAsia="仿宋" w:cs="仿宋"/>
          <w:b w:val="0"/>
          <w:color w:val="000000"/>
          <w:sz w:val="30"/>
        </w:rPr>
        <w:t>20.天津市西青区启智学校</w:t>
      </w:r>
    </w:p>
    <w:p w14:paraId="2C4480B0">
      <w:pPr>
        <w:spacing w:line="560" w:lineRule="exact"/>
        <w:ind w:firstLine="600"/>
        <w:jc w:val="both"/>
      </w:pPr>
      <w:r>
        <w:rPr>
          <w:rFonts w:ascii="仿宋" w:hAnsi="仿宋" w:eastAsia="仿宋" w:cs="仿宋"/>
          <w:b w:val="0"/>
          <w:color w:val="000000"/>
          <w:sz w:val="30"/>
        </w:rPr>
        <w:t>21.天津市西青区重点业余体育学校</w:t>
      </w:r>
    </w:p>
    <w:p w14:paraId="4D2954F3">
      <w:pPr>
        <w:spacing w:line="560" w:lineRule="exact"/>
        <w:ind w:firstLine="600"/>
        <w:jc w:val="both"/>
      </w:pPr>
      <w:r>
        <w:rPr>
          <w:rFonts w:ascii="仿宋" w:hAnsi="仿宋" w:eastAsia="仿宋" w:cs="仿宋"/>
          <w:b w:val="0"/>
          <w:color w:val="000000"/>
          <w:sz w:val="30"/>
        </w:rPr>
        <w:t>22.天津市西青区中等专业学校</w:t>
      </w:r>
    </w:p>
    <w:p w14:paraId="11B18EBF">
      <w:pPr>
        <w:spacing w:line="560" w:lineRule="exact"/>
        <w:ind w:firstLine="600"/>
        <w:jc w:val="both"/>
      </w:pPr>
      <w:r>
        <w:rPr>
          <w:rFonts w:ascii="仿宋" w:hAnsi="仿宋" w:eastAsia="仿宋" w:cs="仿宋"/>
          <w:b w:val="0"/>
          <w:color w:val="000000"/>
          <w:sz w:val="30"/>
        </w:rPr>
        <w:t>23.天津西青开放大学</w:t>
      </w:r>
    </w:p>
    <w:p w14:paraId="20758D58">
      <w:pPr>
        <w:spacing w:line="560" w:lineRule="exact"/>
        <w:ind w:firstLine="600"/>
        <w:jc w:val="both"/>
      </w:pPr>
      <w:r>
        <w:rPr>
          <w:rFonts w:ascii="仿宋" w:hAnsi="仿宋" w:eastAsia="仿宋" w:cs="仿宋"/>
          <w:b w:val="0"/>
          <w:color w:val="000000"/>
          <w:sz w:val="30"/>
        </w:rPr>
        <w:t>24.天津市西青区教师发展中心</w:t>
      </w:r>
    </w:p>
    <w:p w14:paraId="15163394">
      <w:pPr>
        <w:spacing w:line="560" w:lineRule="exact"/>
        <w:ind w:firstLine="600"/>
        <w:jc w:val="both"/>
      </w:pPr>
      <w:r>
        <w:rPr>
          <w:rFonts w:ascii="仿宋" w:hAnsi="仿宋" w:eastAsia="仿宋" w:cs="仿宋"/>
          <w:b w:val="0"/>
          <w:color w:val="000000"/>
          <w:sz w:val="30"/>
        </w:rPr>
        <w:t>25.天津市西青区教育招生考试中心</w:t>
      </w:r>
    </w:p>
    <w:p w14:paraId="5883B968">
      <w:pPr>
        <w:spacing w:line="560" w:lineRule="exact"/>
        <w:ind w:firstLine="600"/>
        <w:jc w:val="both"/>
      </w:pPr>
      <w:r>
        <w:rPr>
          <w:rFonts w:ascii="仿宋" w:hAnsi="仿宋" w:eastAsia="仿宋" w:cs="仿宋"/>
          <w:b w:val="0"/>
          <w:color w:val="000000"/>
          <w:sz w:val="30"/>
        </w:rPr>
        <w:t>26.天津市西青区第二实验小学</w:t>
      </w:r>
    </w:p>
    <w:p w14:paraId="343E676D">
      <w:pPr>
        <w:spacing w:line="560" w:lineRule="exact"/>
        <w:ind w:firstLine="600"/>
        <w:jc w:val="both"/>
      </w:pPr>
      <w:r>
        <w:rPr>
          <w:rFonts w:ascii="仿宋" w:hAnsi="仿宋" w:eastAsia="仿宋" w:cs="仿宋"/>
          <w:b w:val="0"/>
          <w:color w:val="000000"/>
          <w:sz w:val="30"/>
        </w:rPr>
        <w:t>27.天津市西青区兴华中学</w:t>
      </w:r>
    </w:p>
    <w:p w14:paraId="306D6A23">
      <w:pPr>
        <w:spacing w:line="560" w:lineRule="exact"/>
        <w:ind w:firstLine="600"/>
        <w:jc w:val="both"/>
      </w:pPr>
      <w:r>
        <w:rPr>
          <w:rFonts w:ascii="仿宋" w:hAnsi="仿宋" w:eastAsia="仿宋" w:cs="仿宋"/>
          <w:b w:val="0"/>
          <w:color w:val="000000"/>
          <w:sz w:val="30"/>
        </w:rPr>
        <w:t>28.天津市西青区赤龙中学</w:t>
      </w:r>
    </w:p>
    <w:p w14:paraId="7DC3FC92">
      <w:pPr>
        <w:spacing w:line="560" w:lineRule="exact"/>
        <w:ind w:firstLine="600"/>
        <w:jc w:val="both"/>
      </w:pPr>
      <w:r>
        <w:rPr>
          <w:rFonts w:ascii="仿宋" w:hAnsi="仿宋" w:eastAsia="仿宋" w:cs="仿宋"/>
          <w:b w:val="0"/>
          <w:color w:val="000000"/>
          <w:sz w:val="30"/>
        </w:rPr>
        <w:t>29.天津市西青区辛口实验学校</w:t>
      </w:r>
    </w:p>
    <w:p w14:paraId="3415BE9D">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2025年度部门预算情况说明</w:t>
      </w:r>
    </w:p>
    <w:p w14:paraId="3CFC032B">
      <w:pPr>
        <w:spacing w:line="560" w:lineRule="exact"/>
        <w:ind w:firstLine="600"/>
        <w:jc w:val="both"/>
      </w:pPr>
      <w:r>
        <w:rPr>
          <w:rFonts w:ascii="黑体" w:hAnsi="黑体" w:eastAsia="黑体" w:cs="黑体"/>
          <w:b/>
          <w:color w:val="000000"/>
          <w:sz w:val="30"/>
        </w:rPr>
        <w:t>一、关于收支总体情况表的说明</w:t>
      </w:r>
    </w:p>
    <w:p w14:paraId="33A4106D">
      <w:pPr>
        <w:spacing w:line="560" w:lineRule="exact"/>
        <w:ind w:firstLine="600"/>
        <w:jc w:val="both"/>
      </w:pPr>
      <w:r>
        <w:rPr>
          <w:rFonts w:ascii="仿宋" w:hAnsi="仿宋" w:eastAsia="仿宋" w:cs="仿宋"/>
          <w:b w:val="0"/>
          <w:color w:val="000000"/>
          <w:sz w:val="30"/>
        </w:rPr>
        <w:t>按照综合预算的原则，天津市西青区教育局部门所有收入和支出均纳入部门预算管理。收入包括：一般公共预算拨款收入107,220.17万元、政府性基金预算拨款收入0万元、国有资本经营预算拨款收入0万元、财政专户管理资金收入0万元、事业收入0万元、事业单位经营收入0万元、上级补助收入0万元、附属单位上缴收入0万元、其他收入0万元、上年结转结余20,342.49万元；支出包括：教育支出127,562.36万元、灾害防治及应急管理支出0.30万元。天津市西青区教育局部门2025年收支总预算127,562.66万元。</w:t>
      </w:r>
    </w:p>
    <w:p w14:paraId="6476052E">
      <w:pPr>
        <w:spacing w:line="560" w:lineRule="exact"/>
        <w:ind w:firstLine="600"/>
        <w:jc w:val="both"/>
      </w:pPr>
      <w:r>
        <w:rPr>
          <w:rFonts w:ascii="黑体" w:hAnsi="黑体" w:eastAsia="黑体" w:cs="黑体"/>
          <w:b/>
          <w:color w:val="000000"/>
          <w:sz w:val="30"/>
        </w:rPr>
        <w:t>二、关于收入总体情况表的说明</w:t>
      </w:r>
    </w:p>
    <w:p w14:paraId="0BAA6266">
      <w:pPr>
        <w:spacing w:line="560" w:lineRule="exact"/>
        <w:ind w:firstLine="600"/>
        <w:jc w:val="both"/>
      </w:pPr>
      <w:r>
        <w:rPr>
          <w:rFonts w:ascii="仿宋" w:hAnsi="仿宋" w:eastAsia="仿宋" w:cs="仿宋"/>
          <w:b w:val="0"/>
          <w:color w:val="000000"/>
          <w:sz w:val="30"/>
        </w:rPr>
        <w:t>天津市西青区教育局部门2025年部门预算收入127,562.66万元，与上年预算相比增加39,734.01万元，主要原因是本年安排的项目资金多，且结转项目较多。其中：上年结转结余20,342.49万元，占15.95%；一般公共预算107,220.17万元，占84.05%；政府性基金预算0万元，占0%；国有资本经营预算0万元，占0%；财政专户管理资金0万元，占0%；事业收入0万元，占0%；事业单位经营收入0万元，占0%；上级补助收入0万元，占0%；附属单位上缴收入0万元，占0%；其他收入0万元，占0%。</w:t>
      </w:r>
    </w:p>
    <w:p w14:paraId="215C2927">
      <w:pPr>
        <w:spacing w:line="560" w:lineRule="exact"/>
        <w:ind w:firstLine="600"/>
        <w:jc w:val="both"/>
      </w:pPr>
      <w:r>
        <w:rPr>
          <w:rFonts w:ascii="黑体" w:hAnsi="黑体" w:eastAsia="黑体" w:cs="黑体"/>
          <w:b/>
          <w:color w:val="000000"/>
          <w:sz w:val="30"/>
        </w:rPr>
        <w:t>三、关于支出总体情况表的说明</w:t>
      </w:r>
    </w:p>
    <w:p w14:paraId="0A7D415F">
      <w:pPr>
        <w:spacing w:line="560" w:lineRule="exact"/>
        <w:ind w:firstLine="600"/>
        <w:jc w:val="both"/>
      </w:pPr>
      <w:r>
        <w:rPr>
          <w:rFonts w:ascii="仿宋" w:hAnsi="仿宋" w:eastAsia="仿宋" w:cs="仿宋"/>
          <w:b w:val="0"/>
          <w:color w:val="000000"/>
          <w:sz w:val="30"/>
        </w:rPr>
        <w:t>天津市西青区教育局部门2025年支出预算127,562.66万元，与上年预算相比增加39,734.01万元，主要原因是本年安排的项目资金多，且结转项目较多。其中：基本支出74,184.97万元，占58.16%；项目支出53,377.69万元，占41.84%；事业单位经营支出0万元，占0%；上缴上级支出0万元，占0%；对附属单位补助支出0万元，占0%。</w:t>
      </w:r>
    </w:p>
    <w:p w14:paraId="4BA91941">
      <w:pPr>
        <w:spacing w:line="560" w:lineRule="exact"/>
        <w:ind w:firstLine="600"/>
        <w:jc w:val="both"/>
      </w:pPr>
      <w:r>
        <w:rPr>
          <w:rFonts w:ascii="黑体" w:hAnsi="黑体" w:eastAsia="黑体" w:cs="黑体"/>
          <w:b/>
          <w:color w:val="000000"/>
          <w:sz w:val="30"/>
        </w:rPr>
        <w:t>四、关于财政拨款收支总体情况表的说明</w:t>
      </w:r>
    </w:p>
    <w:p w14:paraId="571DF1E1">
      <w:pPr>
        <w:spacing w:line="560" w:lineRule="exact"/>
        <w:ind w:firstLine="600"/>
        <w:jc w:val="both"/>
      </w:pPr>
      <w:r>
        <w:rPr>
          <w:rFonts w:ascii="仿宋" w:hAnsi="仿宋" w:eastAsia="仿宋" w:cs="仿宋"/>
          <w:b w:val="0"/>
          <w:color w:val="000000"/>
          <w:sz w:val="30"/>
        </w:rPr>
        <w:t>天津市西青区教育局部门2025年财政拨款收入预算127,562.66万元，与上年预算相比增加39,734.01万元，主要原因是本年安排的项目资金多，且结转项目较多。收入包括：一般公共预算拨款收入107,220.17万元、政府性基金预算拨款收入0万元、上年财政结转结余20,342.49万元、国有资本经营预算拨款收入0万元、2025年财政拨款支出预算127,562.66万元，与上年预算相比增加39,734.01万元，主要原因是本年安排的项目资金多，且结转项目较多。支出包括：教育支出127,562.36万元 ；灾害防治及应急管理支出0.30万元。</w:t>
      </w:r>
    </w:p>
    <w:p w14:paraId="0D9ADB70">
      <w:pPr>
        <w:spacing w:line="560" w:lineRule="exact"/>
        <w:ind w:firstLine="600"/>
        <w:jc w:val="both"/>
      </w:pPr>
      <w:r>
        <w:rPr>
          <w:rFonts w:ascii="黑体" w:hAnsi="黑体" w:eastAsia="黑体" w:cs="黑体"/>
          <w:b/>
          <w:color w:val="000000"/>
          <w:sz w:val="30"/>
        </w:rPr>
        <w:t>五、关于一般公共预算支出情况表的说明</w:t>
      </w:r>
    </w:p>
    <w:p w14:paraId="6F778E6C">
      <w:pPr>
        <w:spacing w:line="560" w:lineRule="exact"/>
        <w:ind w:firstLine="600"/>
        <w:jc w:val="both"/>
      </w:pPr>
      <w:r>
        <w:rPr>
          <w:rFonts w:ascii="楷体" w:hAnsi="楷体" w:eastAsia="楷体" w:cs="楷体"/>
          <w:b/>
          <w:color w:val="000000"/>
          <w:sz w:val="30"/>
        </w:rPr>
        <w:t>（一）总体情况</w:t>
      </w:r>
    </w:p>
    <w:p w14:paraId="71FF2B97">
      <w:pPr>
        <w:spacing w:line="560" w:lineRule="exact"/>
        <w:ind w:firstLine="600"/>
        <w:jc w:val="both"/>
      </w:pPr>
      <w:r>
        <w:rPr>
          <w:rFonts w:ascii="仿宋" w:hAnsi="仿宋" w:eastAsia="仿宋" w:cs="仿宋"/>
          <w:b w:val="0"/>
          <w:color w:val="000000"/>
          <w:sz w:val="30"/>
        </w:rPr>
        <w:t>天津市西青区教育局部门2025年一般公共预算支出127,562.66万元(上年87828.65万元），与上年预算相比增加39,734.01万元，主要原因是本年安排的项目资金多，且结转项目较多。</w:t>
      </w:r>
    </w:p>
    <w:p w14:paraId="03045FDA">
      <w:pPr>
        <w:spacing w:line="560" w:lineRule="exact"/>
        <w:ind w:firstLine="600"/>
        <w:jc w:val="both"/>
      </w:pPr>
      <w:r>
        <w:rPr>
          <w:rFonts w:ascii="楷体" w:hAnsi="楷体" w:eastAsia="楷体" w:cs="楷体"/>
          <w:b/>
          <w:color w:val="000000"/>
          <w:sz w:val="30"/>
        </w:rPr>
        <w:t>（二）具体情况</w:t>
      </w:r>
    </w:p>
    <w:p w14:paraId="239D369E">
      <w:pPr>
        <w:spacing w:line="560" w:lineRule="exact"/>
        <w:ind w:firstLine="600"/>
        <w:jc w:val="both"/>
      </w:pPr>
      <w:r>
        <w:rPr>
          <w:rFonts w:ascii="仿宋" w:hAnsi="仿宋" w:eastAsia="仿宋" w:cs="仿宋"/>
          <w:b w:val="0"/>
          <w:color w:val="000000"/>
          <w:sz w:val="30"/>
        </w:rPr>
        <w:t>1、“教育支出（类）”127,562.36万元，与上年预算相比增加52,183.04万元，主要原因是本年安排的项目预算较多，结转项目较多，将保险等支出列支教育支出。其中：“教育管理事务（款）”1,110.92万元，包括：“行政运行（教育管理事务）（项）”1,110.92万元，主要用于教育局机关管理事务的支出。</w:t>
      </w:r>
    </w:p>
    <w:p w14:paraId="6CA0475E">
      <w:pPr>
        <w:spacing w:line="560" w:lineRule="exact"/>
        <w:ind w:firstLine="600"/>
        <w:jc w:val="both"/>
      </w:pPr>
      <w:r>
        <w:rPr>
          <w:rFonts w:ascii="仿宋" w:hAnsi="仿宋" w:eastAsia="仿宋" w:cs="仿宋"/>
          <w:b w:val="0"/>
          <w:color w:val="000000"/>
          <w:sz w:val="30"/>
        </w:rPr>
        <w:t>“普通教育（款）”97,227.97万元，包括：“学前教育（项）”10,238.29万元，主要用于学前教育的支出；“小学教育（项）”11,212.32万元，主要用于小学教育的支出；“初中教育（项）”44,220.06万元，主要用于初中教育的支出；“高中教育（项）”21,817.84万元，主要用于高中教育的支出；“其他普通教育支出（项）”9,739.46万元，主要用于其他普通教育的支出。</w:t>
      </w:r>
    </w:p>
    <w:p w14:paraId="018D60A3">
      <w:pPr>
        <w:spacing w:line="560" w:lineRule="exact"/>
        <w:ind w:firstLine="600"/>
        <w:jc w:val="both"/>
      </w:pPr>
      <w:r>
        <w:rPr>
          <w:rFonts w:ascii="仿宋" w:hAnsi="仿宋" w:eastAsia="仿宋" w:cs="仿宋"/>
          <w:b w:val="0"/>
          <w:color w:val="000000"/>
          <w:sz w:val="30"/>
        </w:rPr>
        <w:t>“职业教育（款）”5,068.51万元，包括：“中等职业教育（项）”5,068.51万元，主要用于中等职业教育的支出。</w:t>
      </w:r>
    </w:p>
    <w:p w14:paraId="373DBF80">
      <w:pPr>
        <w:spacing w:line="560" w:lineRule="exact"/>
        <w:ind w:firstLine="600"/>
        <w:jc w:val="both"/>
      </w:pPr>
      <w:r>
        <w:rPr>
          <w:rFonts w:ascii="仿宋" w:hAnsi="仿宋" w:eastAsia="仿宋" w:cs="仿宋"/>
          <w:b w:val="0"/>
          <w:color w:val="000000"/>
          <w:sz w:val="30"/>
        </w:rPr>
        <w:t>“成人教育（款）”1,626.17万元，包括：“成人广播电视教育（项）”1,626.17万元，主要用于成人教育的支出。</w:t>
      </w:r>
    </w:p>
    <w:p w14:paraId="298378E0">
      <w:pPr>
        <w:spacing w:line="560" w:lineRule="exact"/>
        <w:ind w:firstLine="600"/>
        <w:jc w:val="both"/>
      </w:pPr>
      <w:r>
        <w:rPr>
          <w:rFonts w:ascii="仿宋" w:hAnsi="仿宋" w:eastAsia="仿宋" w:cs="仿宋"/>
          <w:b w:val="0"/>
          <w:color w:val="000000"/>
          <w:sz w:val="30"/>
        </w:rPr>
        <w:t>“特殊教育（款）”1,372.19万元，包括：“特殊学校教育（项）”1,372.19万元，主要用于特殊学校教育的支出。</w:t>
      </w:r>
    </w:p>
    <w:p w14:paraId="3597F50C">
      <w:pPr>
        <w:spacing w:line="560" w:lineRule="exact"/>
        <w:ind w:firstLine="600"/>
        <w:jc w:val="both"/>
      </w:pPr>
      <w:r>
        <w:rPr>
          <w:rFonts w:ascii="仿宋" w:hAnsi="仿宋" w:eastAsia="仿宋" w:cs="仿宋"/>
          <w:b w:val="0"/>
          <w:color w:val="000000"/>
          <w:sz w:val="30"/>
        </w:rPr>
        <w:t>“进修及培训（款）”23.36万元，包括：“教师进修（项）”23.00万元，主要用于进修及培训的支出；“培训支出（项）”0.36万元，主要用于培训的支出。</w:t>
      </w:r>
    </w:p>
    <w:p w14:paraId="023E2949">
      <w:pPr>
        <w:spacing w:line="560" w:lineRule="exact"/>
        <w:ind w:firstLine="600"/>
        <w:jc w:val="both"/>
      </w:pPr>
      <w:r>
        <w:rPr>
          <w:rFonts w:ascii="仿宋" w:hAnsi="仿宋" w:eastAsia="仿宋" w:cs="仿宋"/>
          <w:b w:val="0"/>
          <w:color w:val="000000"/>
          <w:sz w:val="30"/>
        </w:rPr>
        <w:t>“教育费附加安排的支出（款）”13,639.62万元，包括：“城市中小学校舍建设（项）”13,639.62万元，主要用于城市中小学校舍建设的支出。</w:t>
      </w:r>
    </w:p>
    <w:p w14:paraId="2BC4042F">
      <w:pPr>
        <w:spacing w:line="560" w:lineRule="exact"/>
        <w:ind w:firstLine="600"/>
        <w:jc w:val="both"/>
      </w:pPr>
      <w:r>
        <w:rPr>
          <w:rFonts w:ascii="仿宋" w:hAnsi="仿宋" w:eastAsia="仿宋" w:cs="仿宋"/>
          <w:b w:val="0"/>
          <w:color w:val="000000"/>
          <w:sz w:val="30"/>
        </w:rPr>
        <w:t>“其他教育支出（款）”7,493.62万元，包括：“其他教育支出（项）”7,493.62万元，主要用于其它教育的支出。</w:t>
      </w:r>
    </w:p>
    <w:p w14:paraId="2568DCB0">
      <w:pPr>
        <w:spacing w:line="560" w:lineRule="exact"/>
        <w:ind w:firstLine="600"/>
        <w:jc w:val="both"/>
      </w:pPr>
      <w:r>
        <w:rPr>
          <w:rFonts w:ascii="仿宋" w:hAnsi="仿宋" w:eastAsia="仿宋" w:cs="仿宋"/>
          <w:b w:val="0"/>
          <w:color w:val="000000"/>
          <w:sz w:val="30"/>
        </w:rPr>
        <w:t>2、“灾害防治及应急管理支出（类）”0.30万元，与上年预算相比减少163.70万元，主要原因是本年该项目是上年结转的项目，剩余资金较少其中：“自然灾害救灾及恢复重建支出（款）”0.30万元，包括：“自然灾害灾后重建补助（项）”0.30万元，</w:t>
      </w:r>
      <w:r>
        <w:rPr>
          <w:rFonts w:ascii="仿宋" w:hAnsi="仿宋" w:eastAsia="仿宋" w:cs="仿宋"/>
          <w:b w:val="0"/>
          <w:color w:val="auto"/>
          <w:sz w:val="30"/>
        </w:rPr>
        <w:t>主要用于</w:t>
      </w:r>
      <w:r>
        <w:rPr>
          <w:rFonts w:hint="eastAsia" w:ascii="仿宋" w:hAnsi="仿宋" w:eastAsia="仿宋" w:cs="仿宋"/>
          <w:b w:val="0"/>
          <w:color w:val="auto"/>
          <w:sz w:val="30"/>
          <w:lang w:eastAsia="zh-CN"/>
        </w:rPr>
        <w:t>校舍维修</w:t>
      </w:r>
      <w:r>
        <w:rPr>
          <w:rFonts w:ascii="仿宋" w:hAnsi="仿宋" w:eastAsia="仿宋" w:cs="仿宋"/>
          <w:b w:val="0"/>
          <w:color w:val="000000"/>
          <w:sz w:val="30"/>
        </w:rPr>
        <w:t>。</w:t>
      </w:r>
    </w:p>
    <w:p w14:paraId="189B74F6">
      <w:pPr>
        <w:spacing w:line="560" w:lineRule="exact"/>
        <w:ind w:firstLine="600"/>
        <w:jc w:val="both"/>
      </w:pPr>
      <w:r>
        <w:rPr>
          <w:rFonts w:ascii="黑体" w:hAnsi="黑体" w:eastAsia="黑体" w:cs="黑体"/>
          <w:b/>
          <w:color w:val="000000"/>
          <w:sz w:val="30"/>
        </w:rPr>
        <w:t>六、关于一般公共预算基本支出情况表的说明</w:t>
      </w:r>
    </w:p>
    <w:p w14:paraId="12BE4922">
      <w:pPr>
        <w:spacing w:line="560" w:lineRule="exact"/>
        <w:ind w:firstLine="600"/>
        <w:jc w:val="both"/>
      </w:pPr>
      <w:r>
        <w:rPr>
          <w:rFonts w:ascii="仿宋" w:hAnsi="仿宋" w:eastAsia="仿宋" w:cs="仿宋"/>
          <w:b w:val="0"/>
          <w:color w:val="000000"/>
          <w:sz w:val="30"/>
        </w:rPr>
        <w:t>天津市西青区教育局部门2025年一般公共预算基本支出 74,184.97万元，与上年预算相比增加2,136.49万元，主要原因是本年新增两所学校，人员增加。其中：人员经费 65,745.39万元，主要包括：基本工资、津贴补贴、奖金、绩效工资、机关事业单位基本养老保险缴费、职业年金缴费、职工基本医疗保险缴费、公务员医疗补助缴费、其他社会保障缴费、住房公积金、医疗费、其他工资福利支出、离休费、退休费、退职(役)费、生活补助、医疗费补助、奖励金、其他对个人和家庭的补助等；</w:t>
      </w:r>
    </w:p>
    <w:p w14:paraId="7A3D1E82">
      <w:pPr>
        <w:spacing w:line="560" w:lineRule="exact"/>
        <w:ind w:firstLine="600"/>
        <w:jc w:val="both"/>
      </w:pPr>
      <w:r>
        <w:rPr>
          <w:rFonts w:ascii="仿宋" w:hAnsi="仿宋" w:eastAsia="仿宋" w:cs="仿宋"/>
          <w:b w:val="0"/>
          <w:color w:val="000000"/>
          <w:sz w:val="30"/>
        </w:rPr>
        <w:t>公用经费8,439.58万元，主要包括：办公费、手续费、水费、电费、邮电费、取暖费、物业管理费、差旅费、维修（护）费、培训费、公务接待费、专用材料费、劳务费、委托业务费、工会经费、福利费、公务用车运行维护费、其他交通费用、其他商品和服务支出、办公设备购置、其他资本性支出等。</w:t>
      </w:r>
    </w:p>
    <w:p w14:paraId="5BC1F287">
      <w:pPr>
        <w:numPr>
          <w:ilvl w:val="0"/>
          <w:numId w:val="1"/>
        </w:numPr>
        <w:spacing w:line="560" w:lineRule="exact"/>
        <w:ind w:firstLine="600"/>
        <w:jc w:val="both"/>
        <w:rPr>
          <w:rFonts w:ascii="黑体" w:hAnsi="黑体" w:eastAsia="黑体" w:cs="黑体"/>
          <w:b/>
          <w:color w:val="000000"/>
          <w:sz w:val="30"/>
        </w:rPr>
      </w:pPr>
      <w:r>
        <w:rPr>
          <w:rFonts w:ascii="黑体" w:hAnsi="黑体" w:eastAsia="黑体" w:cs="黑体"/>
          <w:b/>
          <w:color w:val="000000"/>
          <w:sz w:val="30"/>
        </w:rPr>
        <w:t>关于一般公共预算“三公”经费支出情况表的说明</w:t>
      </w:r>
    </w:p>
    <w:p w14:paraId="632D8822">
      <w:pPr>
        <w:numPr>
          <w:numId w:val="0"/>
        </w:numPr>
        <w:spacing w:line="560" w:lineRule="exact"/>
        <w:ind w:firstLine="600" w:firstLineChars="200"/>
        <w:jc w:val="both"/>
      </w:pPr>
      <w:r>
        <w:rPr>
          <w:rFonts w:ascii="仿宋" w:hAnsi="仿宋" w:eastAsia="仿宋" w:cs="仿宋"/>
          <w:b w:val="0"/>
          <w:color w:val="000000"/>
          <w:sz w:val="30"/>
        </w:rPr>
        <w:t>2025年一般公共预算“三公”经费安排3.00万元，与2024年预算相比减少2.1万元，主要原因是本年安排的公务车运行费和公务接待经费预算减少。</w:t>
      </w:r>
    </w:p>
    <w:p w14:paraId="1AF58083">
      <w:pPr>
        <w:spacing w:line="560" w:lineRule="exact"/>
        <w:ind w:firstLine="600"/>
        <w:jc w:val="both"/>
      </w:pPr>
      <w:r>
        <w:rPr>
          <w:rFonts w:ascii="仿宋" w:hAnsi="仿宋" w:eastAsia="仿宋" w:cs="仿宋"/>
          <w:b w:val="0"/>
          <w:color w:val="000000"/>
          <w:sz w:val="30"/>
        </w:rPr>
        <w:t>具体情况：</w:t>
      </w:r>
    </w:p>
    <w:p w14:paraId="70F1769D">
      <w:pPr>
        <w:spacing w:line="560" w:lineRule="exact"/>
        <w:ind w:firstLine="600"/>
        <w:jc w:val="both"/>
      </w:pPr>
      <w:r>
        <w:rPr>
          <w:rFonts w:ascii="仿宋" w:hAnsi="仿宋" w:eastAsia="仿宋" w:cs="仿宋"/>
          <w:b w:val="0"/>
          <w:color w:val="000000"/>
          <w:sz w:val="30"/>
        </w:rPr>
        <w:t>一、2025年因公出国（境）费预算0万元，与2024年预算相比减少0.00万元，主要原因是本部门一般公共预算未安排“因公出国（境）”经费。</w:t>
      </w:r>
    </w:p>
    <w:p w14:paraId="75FA1F9D">
      <w:pPr>
        <w:spacing w:line="560" w:lineRule="exact"/>
        <w:ind w:firstLine="600"/>
        <w:jc w:val="both"/>
      </w:pPr>
      <w:r>
        <w:rPr>
          <w:rFonts w:ascii="仿宋" w:hAnsi="仿宋" w:eastAsia="仿宋" w:cs="仿宋"/>
          <w:b w:val="0"/>
          <w:color w:val="000000"/>
          <w:sz w:val="30"/>
        </w:rPr>
        <w:t>二、2025年公务用车购置及运行费预算2.00万元，其中公务用车运行费2.00万元，与2024年预算相比减少1.13万元，主要原因是本年降低了公务车运行经费预算；公务用车购置费0万元，与2024年预算相比减少0万元，主要原因是本部门一般公共预算未安排“公务用车购置”经费。</w:t>
      </w:r>
    </w:p>
    <w:p w14:paraId="49C82FA5">
      <w:pPr>
        <w:spacing w:line="560" w:lineRule="exact"/>
        <w:ind w:firstLine="600"/>
        <w:jc w:val="both"/>
      </w:pPr>
      <w:r>
        <w:rPr>
          <w:rFonts w:ascii="仿宋" w:hAnsi="仿宋" w:eastAsia="仿宋" w:cs="仿宋"/>
          <w:b w:val="0"/>
          <w:color w:val="000000"/>
          <w:sz w:val="30"/>
        </w:rPr>
        <w:t>三、2025年公务接待费预算1.00万元，与2024年预算相比减少0.97万元，主要原因是本年安排的公务接待费预算减少，压减三公经费支出。</w:t>
      </w:r>
    </w:p>
    <w:p w14:paraId="01D08D9B">
      <w:pPr>
        <w:spacing w:line="560" w:lineRule="exact"/>
        <w:ind w:firstLine="600"/>
        <w:jc w:val="both"/>
      </w:pPr>
      <w:r>
        <w:rPr>
          <w:rFonts w:ascii="黑体" w:hAnsi="黑体" w:eastAsia="黑体" w:cs="黑体"/>
          <w:b/>
          <w:color w:val="000000"/>
          <w:sz w:val="30"/>
        </w:rPr>
        <w:t>八、关于政府性基金预算支出情况表的说明</w:t>
      </w:r>
    </w:p>
    <w:p w14:paraId="1AA16319">
      <w:pPr>
        <w:spacing w:line="560" w:lineRule="exact"/>
        <w:ind w:firstLine="600"/>
        <w:jc w:val="both"/>
      </w:pPr>
      <w:r>
        <w:rPr>
          <w:rFonts w:ascii="仿宋" w:hAnsi="仿宋" w:eastAsia="仿宋" w:cs="仿宋"/>
          <w:b w:val="0"/>
          <w:color w:val="000000"/>
          <w:sz w:val="30"/>
        </w:rPr>
        <w:t>2025年天津市西青区教育局部门预算中没有使用政府性基金预算安排的支出。</w:t>
      </w:r>
    </w:p>
    <w:p w14:paraId="533353EC">
      <w:pPr>
        <w:spacing w:line="560" w:lineRule="exact"/>
        <w:ind w:firstLine="600"/>
        <w:jc w:val="both"/>
      </w:pPr>
      <w:r>
        <w:rPr>
          <w:rFonts w:ascii="黑体" w:hAnsi="黑体" w:eastAsia="黑体" w:cs="黑体"/>
          <w:b/>
          <w:color w:val="000000"/>
          <w:sz w:val="30"/>
        </w:rPr>
        <w:t>九、关于国有资本经营预算支出情况表的说明</w:t>
      </w:r>
    </w:p>
    <w:p w14:paraId="62F58B16">
      <w:pPr>
        <w:spacing w:line="560" w:lineRule="exact"/>
        <w:ind w:firstLine="600"/>
        <w:jc w:val="both"/>
      </w:pPr>
      <w:r>
        <w:rPr>
          <w:rFonts w:ascii="仿宋" w:hAnsi="仿宋" w:eastAsia="仿宋" w:cs="仿宋"/>
          <w:b w:val="0"/>
          <w:color w:val="000000"/>
          <w:sz w:val="30"/>
        </w:rPr>
        <w:t>2025年天津市西青区教育局部门预算中没有使用国有资本经营预算预算安排的支出。</w:t>
      </w:r>
    </w:p>
    <w:p w14:paraId="6A4B80FE">
      <w:pPr>
        <w:spacing w:line="560" w:lineRule="exact"/>
        <w:ind w:firstLine="600"/>
        <w:jc w:val="both"/>
      </w:pPr>
      <w:r>
        <w:rPr>
          <w:rFonts w:ascii="黑体" w:hAnsi="黑体" w:eastAsia="黑体" w:cs="黑体"/>
          <w:b/>
          <w:color w:val="000000"/>
          <w:sz w:val="30"/>
        </w:rPr>
        <w:t>十、其他重要事项的情况说明</w:t>
      </w:r>
    </w:p>
    <w:p w14:paraId="3FFBC120">
      <w:pPr>
        <w:spacing w:line="560" w:lineRule="exact"/>
        <w:ind w:firstLine="600"/>
        <w:jc w:val="both"/>
      </w:pPr>
      <w:r>
        <w:rPr>
          <w:rFonts w:ascii="楷体" w:hAnsi="楷体" w:eastAsia="楷体" w:cs="楷体"/>
          <w:b/>
          <w:color w:val="000000"/>
          <w:sz w:val="30"/>
        </w:rPr>
        <w:t>（一）机关运行经费。</w:t>
      </w:r>
    </w:p>
    <w:p w14:paraId="59BAC7E6">
      <w:pPr>
        <w:spacing w:line="560" w:lineRule="exact"/>
        <w:ind w:firstLine="600"/>
        <w:jc w:val="both"/>
      </w:pPr>
      <w:r>
        <w:rPr>
          <w:rFonts w:ascii="仿宋" w:hAnsi="仿宋" w:eastAsia="仿宋" w:cs="仿宋"/>
          <w:b w:val="0"/>
          <w:color w:val="000000"/>
          <w:sz w:val="30"/>
        </w:rPr>
        <w:t>本部门2025年天津市西青区教育局1家行政单位以及0家参公管理事业单位的机关运行经费预算154.32万元，包括办公费35.57万元、水费5.58万元、邮电费5.58万元、取暖费11.95万元、物业管理费20.64万元、差旅费5.21万元、维修(护)费5.58万元、培训费0.36万元、公务接待费0.50万元、委托业务费2.40万元、工会经费11.90万元、福利费6.70万元、其他交通费用33.52万元、办公设备购置8.84万元 。</w:t>
      </w:r>
    </w:p>
    <w:p w14:paraId="5622B5D1">
      <w:pPr>
        <w:spacing w:line="560" w:lineRule="exact"/>
        <w:ind w:firstLine="600"/>
        <w:jc w:val="both"/>
      </w:pPr>
      <w:r>
        <w:rPr>
          <w:rFonts w:ascii="楷体" w:hAnsi="楷体" w:eastAsia="楷体" w:cs="楷体"/>
          <w:b/>
          <w:color w:val="000000"/>
          <w:sz w:val="30"/>
        </w:rPr>
        <w:t>（二）政府采购情况</w:t>
      </w:r>
      <w:r>
        <w:rPr>
          <w:rFonts w:ascii="仿宋" w:hAnsi="仿宋" w:eastAsia="仿宋" w:cs="仿宋"/>
          <w:b w:val="0"/>
          <w:color w:val="000000"/>
          <w:sz w:val="30"/>
        </w:rPr>
        <w:t>本部门2025年安排政府采购预算12811.58万元，其中：政府采购货物支出6644.08万元、政府采购工程支出3059.34万元、政府采购服务支出3108.16万元。主要项目是：新建校教学装备购置项目3000万元、新建校装备购置延续项目2500万元、赤龙中学装修改造项目1500万元、街镇学校提升改造项目833.93万元、校车服务项目600万元、西青区英语听说机考标准化考点建设项目457万元、张家窝中学校舍楼地面整改工程379.59万元、杨柳青一中实验仪器设备改造提升项目280万元、兴华中学、赤龙中学装修改造项目273.2万元、九十五中学物业社会化服务225.7万元、杨柳青一中物业社会化服务223万元、西青中专物业社会化服务209万元、当城中学物业社会化服务160.5万元、张家窝中学物业社会化服务203.75万元、杨柳青二中物业社会化服务100万元、西青中专办公设备购置100万元、精武中学物业社会化服务97.85万元、王稳庄中学物业社会化服务89.91万元。</w:t>
      </w:r>
    </w:p>
    <w:p w14:paraId="5B31C19F">
      <w:pPr>
        <w:spacing w:line="560" w:lineRule="exact"/>
        <w:ind w:firstLine="600"/>
        <w:jc w:val="both"/>
      </w:pPr>
      <w:r>
        <w:rPr>
          <w:rFonts w:ascii="楷体" w:hAnsi="楷体" w:eastAsia="楷体" w:cs="楷体"/>
          <w:b/>
          <w:color w:val="000000"/>
          <w:sz w:val="30"/>
        </w:rPr>
        <w:t>（三）国有资产占用情况</w:t>
      </w:r>
    </w:p>
    <w:p w14:paraId="041101B5">
      <w:pPr>
        <w:spacing w:line="560" w:lineRule="exact"/>
        <w:ind w:firstLine="600"/>
        <w:jc w:val="both"/>
      </w:pPr>
      <w:r>
        <w:rPr>
          <w:rFonts w:ascii="仿宋" w:hAnsi="仿宋" w:eastAsia="仿宋" w:cs="仿宋"/>
          <w:b w:val="0"/>
          <w:color w:val="000000"/>
          <w:sz w:val="30"/>
        </w:rPr>
        <w:t>截至2024年12月底，本部门各单位共有车辆1辆、其中：副部（省）级及以上领导用车0辆、主要负责人干部用车0辆、机要通信用车0辆、应急保障用车0辆、执法执勤用车0辆、特种专业技术用车0辆、离退休干部用车0辆、其他用车1辆，其他用车主要包括考试中心的考试专用车。单价（账面原值）100万以上的设备0台（套）。</w:t>
      </w:r>
    </w:p>
    <w:p w14:paraId="676660A8">
      <w:pPr>
        <w:spacing w:line="560" w:lineRule="exact"/>
        <w:ind w:firstLine="600"/>
        <w:jc w:val="both"/>
      </w:pPr>
      <w:r>
        <w:rPr>
          <w:rFonts w:ascii="楷体" w:hAnsi="楷体" w:eastAsia="楷体" w:cs="楷体"/>
          <w:b/>
          <w:color w:val="000000"/>
          <w:sz w:val="30"/>
        </w:rPr>
        <w:t>（四）预算绩效情况说明。</w:t>
      </w:r>
    </w:p>
    <w:p w14:paraId="196EE8D4">
      <w:pPr>
        <w:spacing w:line="560" w:lineRule="exact"/>
        <w:ind w:firstLine="600"/>
        <w:jc w:val="both"/>
      </w:pPr>
      <w:r>
        <w:rPr>
          <w:rFonts w:ascii="仿宋" w:hAnsi="仿宋" w:eastAsia="仿宋" w:cs="仿宋"/>
          <w:b w:val="0"/>
          <w:color w:val="000000"/>
          <w:sz w:val="30"/>
        </w:rPr>
        <w:t>天津市西青区教育局部门2025年实行绩效目标管理的项目113个，涉及预算金额53377.69万元。</w:t>
      </w:r>
    </w:p>
    <w:p w14:paraId="6152DC41">
      <w:pPr>
        <w:pageBreakBefore/>
        <w:spacing w:line="560" w:lineRule="exact"/>
        <w:ind w:firstLine="0"/>
        <w:jc w:val="center"/>
      </w:pPr>
      <w:r>
        <w:rPr>
          <w:rFonts w:ascii="黑体" w:hAnsi="黑体" w:eastAsia="黑体" w:cs="黑体"/>
          <w:b/>
          <w:color w:val="000000"/>
          <w:sz w:val="32"/>
        </w:rPr>
        <w:t>第三部分  名词解释</w:t>
      </w:r>
    </w:p>
    <w:p w14:paraId="3ABA556D">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1A787880">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0586C418">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3CC14FEF">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p w14:paraId="6BA38AD8">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2025年部门预算表</w:t>
      </w:r>
    </w:p>
    <w:p w14:paraId="379E3708">
      <w:pPr>
        <w:spacing w:line="560" w:lineRule="exact"/>
        <w:ind w:firstLine="0"/>
        <w:jc w:val="both"/>
      </w:pPr>
      <w:r>
        <w:rPr>
          <w:rFonts w:ascii="楷体" w:hAnsi="楷体" w:eastAsia="楷体" w:cs="楷体"/>
          <w:b/>
          <w:color w:val="000000"/>
          <w:sz w:val="30"/>
        </w:rPr>
        <w:t>一、《部门收支总体情况表》</w:t>
      </w:r>
    </w:p>
    <w:p w14:paraId="5ACD7CBD">
      <w:pPr>
        <w:spacing w:line="560" w:lineRule="exact"/>
        <w:ind w:firstLine="0"/>
        <w:jc w:val="both"/>
      </w:pPr>
      <w:r>
        <w:rPr>
          <w:rFonts w:ascii="楷体" w:hAnsi="楷体" w:eastAsia="楷体" w:cs="楷体"/>
          <w:b/>
          <w:color w:val="000000"/>
          <w:sz w:val="30"/>
        </w:rPr>
        <w:t>二、《部门收入总体情况表》</w:t>
      </w:r>
    </w:p>
    <w:p w14:paraId="59215526">
      <w:pPr>
        <w:spacing w:line="560" w:lineRule="exact"/>
        <w:ind w:firstLine="0"/>
        <w:jc w:val="both"/>
      </w:pPr>
      <w:r>
        <w:rPr>
          <w:rFonts w:ascii="楷体" w:hAnsi="楷体" w:eastAsia="楷体" w:cs="楷体"/>
          <w:b/>
          <w:color w:val="000000"/>
          <w:sz w:val="30"/>
        </w:rPr>
        <w:t>三、《部门支出总体情况表》</w:t>
      </w:r>
    </w:p>
    <w:p w14:paraId="2AC6DF6F">
      <w:pPr>
        <w:spacing w:line="560" w:lineRule="exact"/>
        <w:ind w:firstLine="0"/>
        <w:jc w:val="both"/>
      </w:pPr>
      <w:r>
        <w:rPr>
          <w:rFonts w:ascii="楷体" w:hAnsi="楷体" w:eastAsia="楷体" w:cs="楷体"/>
          <w:b/>
          <w:color w:val="000000"/>
          <w:sz w:val="30"/>
        </w:rPr>
        <w:t>四、《财政拨款收支总体情况表》</w:t>
      </w:r>
    </w:p>
    <w:p w14:paraId="5D42BCF4">
      <w:pPr>
        <w:spacing w:line="560" w:lineRule="exact"/>
        <w:ind w:firstLine="0"/>
        <w:jc w:val="both"/>
      </w:pPr>
      <w:r>
        <w:rPr>
          <w:rFonts w:ascii="楷体" w:hAnsi="楷体" w:eastAsia="楷体" w:cs="楷体"/>
          <w:b/>
          <w:color w:val="000000"/>
          <w:sz w:val="30"/>
        </w:rPr>
        <w:t>五、《一般公共预算支出情况表》</w:t>
      </w:r>
    </w:p>
    <w:p w14:paraId="7795E36F">
      <w:pPr>
        <w:spacing w:line="560" w:lineRule="exact"/>
        <w:ind w:firstLine="0"/>
        <w:jc w:val="both"/>
      </w:pPr>
      <w:r>
        <w:rPr>
          <w:rFonts w:ascii="楷体" w:hAnsi="楷体" w:eastAsia="楷体" w:cs="楷体"/>
          <w:b/>
          <w:color w:val="000000"/>
          <w:sz w:val="30"/>
        </w:rPr>
        <w:t>六、《一般公共预算基本支出情况表》</w:t>
      </w:r>
    </w:p>
    <w:p w14:paraId="1E95B39E">
      <w:pPr>
        <w:spacing w:line="560" w:lineRule="exact"/>
        <w:ind w:firstLine="0"/>
        <w:jc w:val="both"/>
      </w:pPr>
      <w:r>
        <w:rPr>
          <w:rFonts w:ascii="楷体" w:hAnsi="楷体" w:eastAsia="楷体" w:cs="楷体"/>
          <w:b/>
          <w:color w:val="000000"/>
          <w:sz w:val="30"/>
        </w:rPr>
        <w:t>七、《一般公共预算“三公”经费支出情况表》</w:t>
      </w:r>
    </w:p>
    <w:p w14:paraId="77F2BF04">
      <w:pPr>
        <w:spacing w:line="560" w:lineRule="exact"/>
        <w:ind w:firstLine="0"/>
        <w:jc w:val="both"/>
      </w:pPr>
      <w:r>
        <w:rPr>
          <w:rFonts w:ascii="楷体" w:hAnsi="楷体" w:eastAsia="楷体" w:cs="楷体"/>
          <w:b/>
          <w:color w:val="000000"/>
          <w:sz w:val="30"/>
        </w:rPr>
        <w:t>八、《政府性基金预算支出情况表》</w:t>
      </w:r>
    </w:p>
    <w:p w14:paraId="7780BB1B">
      <w:pPr>
        <w:spacing w:line="560" w:lineRule="exact"/>
        <w:ind w:firstLine="0"/>
        <w:jc w:val="both"/>
      </w:pPr>
      <w:r>
        <w:rPr>
          <w:rFonts w:ascii="楷体" w:hAnsi="楷体" w:eastAsia="楷体" w:cs="楷体"/>
          <w:b/>
          <w:color w:val="000000"/>
          <w:sz w:val="30"/>
        </w:rPr>
        <w:t>九、《国有资本经营预算支出情况表》</w:t>
      </w:r>
    </w:p>
    <w:p w14:paraId="15EFF8AF">
      <w:pPr>
        <w:spacing w:line="560" w:lineRule="exact"/>
        <w:ind w:firstLine="0"/>
        <w:jc w:val="both"/>
      </w:pPr>
      <w:r>
        <w:rPr>
          <w:rFonts w:ascii="楷体" w:hAnsi="楷体" w:eastAsia="楷体" w:cs="楷体"/>
          <w:b/>
          <w:color w:val="000000"/>
          <w:sz w:val="30"/>
        </w:rPr>
        <w:t>十、《项目支出表》</w:t>
      </w:r>
    </w:p>
    <w:p w14:paraId="05677E85">
      <w:pPr>
        <w:spacing w:line="560" w:lineRule="exact"/>
        <w:ind w:firstLine="0"/>
        <w:jc w:val="both"/>
      </w:pPr>
      <w:r>
        <w:rPr>
          <w:rFonts w:ascii="楷体" w:hAnsi="楷体" w:eastAsia="楷体" w:cs="楷体"/>
          <w:b/>
          <w:color w:val="000000"/>
          <w:sz w:val="30"/>
        </w:rPr>
        <w:t>十一、关于空表说明</w:t>
      </w:r>
    </w:p>
    <w:p w14:paraId="28167B25">
      <w:pPr>
        <w:pageBreakBefore/>
        <w:spacing w:line="560" w:lineRule="exact"/>
        <w:ind w:firstLine="0"/>
        <w:jc w:val="both"/>
      </w:pPr>
      <w:r>
        <w:rPr>
          <w:rFonts w:ascii="仿宋" w:hAnsi="仿宋" w:eastAsia="仿宋" w:cs="仿宋"/>
          <w:b/>
          <w:color w:val="000000"/>
          <w:sz w:val="30"/>
        </w:rPr>
        <w:t>十一、关于空表的说明</w:t>
      </w:r>
    </w:p>
    <w:p w14:paraId="5A5C665A">
      <w:pPr>
        <w:spacing w:line="560" w:lineRule="exact"/>
        <w:ind w:firstLine="600"/>
        <w:jc w:val="both"/>
      </w:pPr>
      <w:r>
        <w:rPr>
          <w:rFonts w:ascii="仿宋" w:hAnsi="仿宋" w:eastAsia="仿宋" w:cs="仿宋"/>
          <w:b w:val="0"/>
          <w:color w:val="000000"/>
          <w:sz w:val="30"/>
        </w:rPr>
        <w:t>本部门2025年政府性基金预算支出情况表为空表</w:t>
      </w:r>
    </w:p>
    <w:p w14:paraId="124166FC">
      <w:pPr>
        <w:spacing w:line="560" w:lineRule="exact"/>
        <w:ind w:firstLine="600"/>
        <w:jc w:val="both"/>
      </w:pPr>
      <w:r>
        <w:rPr>
          <w:rFonts w:ascii="仿宋" w:hAnsi="仿宋" w:eastAsia="仿宋" w:cs="仿宋"/>
          <w:b w:val="0"/>
          <w:color w:val="000000"/>
          <w:sz w:val="30"/>
        </w:rPr>
        <w:t>本部门2025年国有资本经营预算支出情况表为空表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E95A9"/>
    <w:multiLevelType w:val="singleLevel"/>
    <w:tmpl w:val="A41E95A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596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4944</Words>
  <Characters>5683</Characters>
  <TotalTime>14</TotalTime>
  <ScaleCrop>false</ScaleCrop>
  <LinksUpToDate>false</LinksUpToDate>
  <CharactersWithSpaces>5707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Apache POI</dc:creator>
  <cp:lastModifiedBy>hp</cp:lastModifiedBy>
  <dcterms:modified xsi:type="dcterms:W3CDTF">2025-03-14T09:25:02Z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eyJoZGlkIjoiNTQ1Njk4M2YyODg4OGJkNTc4MjgwOTIxODZlNTQ3MmEifQ==</vt:lpwstr>
  </property>
  <property fmtid="{D5CDD505-2E9C-101B-9397-08002B2CF9AE}" pid="3" name="KSOProductBuildVer">
    <vt:lpwstr>2052-12.1.0.20305</vt:lpwstr>
  </property>
  <property fmtid="{D5CDD505-2E9C-101B-9397-08002B2CF9AE}" pid="4" name="ICV">
    <vt:lpwstr>58B6F0083FF142E6BD69C0BA5F149D49_12</vt:lpwstr>
  </property>
</Properties>
</file>