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55F8" w14:textId="77777777" w:rsidR="00EF00EA" w:rsidRDefault="003D0635">
      <w:pPr>
        <w:spacing w:line="2600" w:lineRule="exact"/>
        <w:jc w:val="center"/>
      </w:pPr>
      <w:r>
        <w:rPr>
          <w:rFonts w:ascii="FZXiaoBiaoSong-B05S" w:eastAsia="FZXiaoBiaoSong-B05S" w:hAnsi="FZXiaoBiaoSong-B05S" w:cs="FZXiaoBiaoSong-B05S"/>
          <w:b/>
          <w:color w:val="000000"/>
          <w:sz w:val="48"/>
        </w:rPr>
        <w:t>天津市西青区工业和信息化局</w:t>
      </w:r>
      <w:r>
        <w:rPr>
          <w:rFonts w:ascii="FZXiaoBiaoSong-B05S" w:eastAsia="FZXiaoBiaoSong-B05S" w:hAnsi="FZXiaoBiaoSong-B05S" w:cs="FZXiaoBiaoSong-B05S"/>
          <w:b/>
          <w:color w:val="000000"/>
          <w:sz w:val="48"/>
        </w:rPr>
        <w:br/>
        <w:t>2025年度部门预算公开</w:t>
      </w:r>
    </w:p>
    <w:p w14:paraId="338A0BF9" w14:textId="77777777" w:rsidR="00EF00EA" w:rsidRDefault="003D0635">
      <w:pPr>
        <w:pageBreakBefore/>
        <w:spacing w:line="560" w:lineRule="exact"/>
        <w:jc w:val="center"/>
      </w:pPr>
      <w:r>
        <w:rPr>
          <w:rFonts w:ascii="黑体" w:eastAsia="黑体" w:hAnsi="黑体" w:cs="黑体"/>
          <w:b/>
          <w:color w:val="000000"/>
          <w:sz w:val="44"/>
        </w:rPr>
        <w:lastRenderedPageBreak/>
        <w:t>目    录</w:t>
      </w:r>
    </w:p>
    <w:p w14:paraId="51FA131E" w14:textId="77777777" w:rsidR="00EF00EA" w:rsidRDefault="003D0635">
      <w:pPr>
        <w:spacing w:line="560" w:lineRule="exact"/>
        <w:ind w:firstLine="900"/>
      </w:pPr>
      <w:r>
        <w:rPr>
          <w:rFonts w:ascii="仿宋" w:eastAsia="仿宋" w:hAnsi="仿宋" w:cs="仿宋"/>
          <w:b/>
          <w:color w:val="000000"/>
          <w:sz w:val="30"/>
        </w:rPr>
        <w:t>第一部分  概况</w:t>
      </w:r>
    </w:p>
    <w:p w14:paraId="01BC4091" w14:textId="77777777" w:rsidR="00EF00EA" w:rsidRDefault="003D0635">
      <w:pPr>
        <w:spacing w:line="560" w:lineRule="exact"/>
        <w:ind w:firstLine="900"/>
      </w:pPr>
      <w:r>
        <w:rPr>
          <w:rFonts w:ascii="仿宋" w:eastAsia="仿宋" w:hAnsi="仿宋" w:cs="仿宋"/>
          <w:color w:val="000000"/>
          <w:sz w:val="30"/>
        </w:rPr>
        <w:t>一、主要职责</w:t>
      </w:r>
    </w:p>
    <w:p w14:paraId="2E05A5E9" w14:textId="77777777" w:rsidR="00EF00EA" w:rsidRDefault="003D0635">
      <w:pPr>
        <w:spacing w:line="560" w:lineRule="exact"/>
        <w:ind w:firstLine="900"/>
      </w:pPr>
      <w:r>
        <w:rPr>
          <w:rFonts w:ascii="仿宋" w:eastAsia="仿宋" w:hAnsi="仿宋" w:cs="仿宋"/>
          <w:color w:val="000000"/>
          <w:sz w:val="30"/>
        </w:rPr>
        <w:t>二、机构设置情况</w:t>
      </w:r>
    </w:p>
    <w:p w14:paraId="29BAAE12" w14:textId="77777777" w:rsidR="00EF00EA" w:rsidRDefault="003D0635">
      <w:pPr>
        <w:spacing w:line="560" w:lineRule="exact"/>
        <w:ind w:firstLine="900"/>
      </w:pPr>
      <w:r>
        <w:rPr>
          <w:rFonts w:ascii="仿宋" w:eastAsia="仿宋" w:hAnsi="仿宋" w:cs="仿宋"/>
          <w:b/>
          <w:color w:val="000000"/>
          <w:sz w:val="30"/>
        </w:rPr>
        <w:t>第二部分  2025年部门情况说明</w:t>
      </w:r>
    </w:p>
    <w:p w14:paraId="79B4AB86" w14:textId="77777777" w:rsidR="00EF00EA" w:rsidRDefault="003D0635">
      <w:pPr>
        <w:spacing w:line="560" w:lineRule="exact"/>
        <w:ind w:firstLine="900"/>
      </w:pPr>
      <w:r>
        <w:rPr>
          <w:rFonts w:ascii="仿宋" w:eastAsia="仿宋" w:hAnsi="仿宋" w:cs="仿宋"/>
          <w:color w:val="000000"/>
          <w:sz w:val="30"/>
        </w:rPr>
        <w:t>一、关于收支总体情况表的说明</w:t>
      </w:r>
    </w:p>
    <w:p w14:paraId="23251C5B" w14:textId="77777777" w:rsidR="00EF00EA" w:rsidRDefault="003D0635">
      <w:pPr>
        <w:spacing w:line="560" w:lineRule="exact"/>
        <w:ind w:firstLine="900"/>
      </w:pPr>
      <w:r>
        <w:rPr>
          <w:rFonts w:ascii="仿宋" w:eastAsia="仿宋" w:hAnsi="仿宋" w:cs="仿宋"/>
          <w:color w:val="000000"/>
          <w:sz w:val="30"/>
        </w:rPr>
        <w:t>二、关于收入总体情况表的说明</w:t>
      </w:r>
    </w:p>
    <w:p w14:paraId="61BD9F74" w14:textId="77777777" w:rsidR="00EF00EA" w:rsidRDefault="003D0635">
      <w:pPr>
        <w:spacing w:line="560" w:lineRule="exact"/>
        <w:ind w:firstLine="900"/>
      </w:pPr>
      <w:r>
        <w:rPr>
          <w:rFonts w:ascii="仿宋" w:eastAsia="仿宋" w:hAnsi="仿宋" w:cs="仿宋"/>
          <w:color w:val="000000"/>
          <w:sz w:val="30"/>
        </w:rPr>
        <w:t>三、关于支出总体情况表的说明</w:t>
      </w:r>
    </w:p>
    <w:p w14:paraId="429B2186" w14:textId="77777777" w:rsidR="00EF00EA" w:rsidRDefault="003D0635">
      <w:pPr>
        <w:spacing w:line="560" w:lineRule="exact"/>
        <w:ind w:firstLine="900"/>
      </w:pPr>
      <w:r>
        <w:rPr>
          <w:rFonts w:ascii="仿宋" w:eastAsia="仿宋" w:hAnsi="仿宋" w:cs="仿宋"/>
          <w:color w:val="000000"/>
          <w:sz w:val="30"/>
        </w:rPr>
        <w:t>四、关于财政拨款收支总体情况表的说明</w:t>
      </w:r>
    </w:p>
    <w:p w14:paraId="5461D93C" w14:textId="77777777" w:rsidR="00EF00EA" w:rsidRDefault="003D0635">
      <w:pPr>
        <w:spacing w:line="560" w:lineRule="exact"/>
        <w:ind w:firstLine="900"/>
      </w:pPr>
      <w:r>
        <w:rPr>
          <w:rFonts w:ascii="仿宋" w:eastAsia="仿宋" w:hAnsi="仿宋" w:cs="仿宋"/>
          <w:color w:val="000000"/>
          <w:sz w:val="30"/>
        </w:rPr>
        <w:t>五、关于一般公共预算支出情况表的说明</w:t>
      </w:r>
    </w:p>
    <w:p w14:paraId="48D7BE8B" w14:textId="77777777" w:rsidR="00EF00EA" w:rsidRDefault="003D0635">
      <w:pPr>
        <w:spacing w:line="560" w:lineRule="exact"/>
        <w:ind w:firstLine="900"/>
      </w:pPr>
      <w:r>
        <w:rPr>
          <w:rFonts w:ascii="仿宋" w:eastAsia="仿宋" w:hAnsi="仿宋" w:cs="仿宋"/>
          <w:color w:val="000000"/>
          <w:sz w:val="30"/>
        </w:rPr>
        <w:t>六、关于一般公共预算基本支出情况表的说明</w:t>
      </w:r>
    </w:p>
    <w:p w14:paraId="17B5BBFB" w14:textId="77777777" w:rsidR="00EF00EA" w:rsidRDefault="003D0635">
      <w:pPr>
        <w:spacing w:line="560" w:lineRule="exact"/>
        <w:ind w:firstLine="900"/>
      </w:pPr>
      <w:r>
        <w:rPr>
          <w:rFonts w:ascii="仿宋" w:eastAsia="仿宋" w:hAnsi="仿宋" w:cs="仿宋"/>
          <w:color w:val="000000"/>
          <w:sz w:val="30"/>
        </w:rPr>
        <w:t>七、关于一般公共预算“三公”经费支出情况表的说明</w:t>
      </w:r>
    </w:p>
    <w:p w14:paraId="31F94BB9" w14:textId="77777777" w:rsidR="00EF00EA" w:rsidRDefault="003D0635">
      <w:pPr>
        <w:spacing w:line="560" w:lineRule="exact"/>
        <w:ind w:firstLine="900"/>
      </w:pPr>
      <w:r>
        <w:rPr>
          <w:rFonts w:ascii="仿宋" w:eastAsia="仿宋" w:hAnsi="仿宋" w:cs="仿宋"/>
          <w:color w:val="000000"/>
          <w:sz w:val="30"/>
        </w:rPr>
        <w:t>八、关于政府性基金预算支出情况表的说明</w:t>
      </w:r>
    </w:p>
    <w:p w14:paraId="43DAD33F" w14:textId="77777777" w:rsidR="00EF00EA" w:rsidRDefault="003D0635">
      <w:pPr>
        <w:spacing w:line="560" w:lineRule="exact"/>
        <w:ind w:firstLine="900"/>
      </w:pPr>
      <w:r>
        <w:rPr>
          <w:rFonts w:ascii="仿宋" w:eastAsia="仿宋" w:hAnsi="仿宋" w:cs="仿宋"/>
          <w:color w:val="000000"/>
          <w:sz w:val="30"/>
        </w:rPr>
        <w:t>九、关于国有资本经营预算支出情况表的说明</w:t>
      </w:r>
    </w:p>
    <w:p w14:paraId="3CE6E5F6" w14:textId="77777777" w:rsidR="00EF00EA" w:rsidRDefault="003D0635">
      <w:pPr>
        <w:spacing w:line="560" w:lineRule="exact"/>
        <w:ind w:firstLine="900"/>
      </w:pPr>
      <w:r>
        <w:rPr>
          <w:rFonts w:ascii="仿宋" w:eastAsia="仿宋" w:hAnsi="仿宋" w:cs="仿宋"/>
          <w:color w:val="000000"/>
          <w:sz w:val="30"/>
        </w:rPr>
        <w:t>十、其他重要事项的情况说明</w:t>
      </w:r>
    </w:p>
    <w:p w14:paraId="0110F28D" w14:textId="77777777" w:rsidR="00EF00EA" w:rsidRDefault="003D0635">
      <w:pPr>
        <w:spacing w:line="560" w:lineRule="exact"/>
        <w:ind w:firstLine="900"/>
      </w:pPr>
      <w:r>
        <w:rPr>
          <w:rFonts w:ascii="仿宋" w:eastAsia="仿宋" w:hAnsi="仿宋" w:cs="仿宋"/>
          <w:b/>
          <w:color w:val="000000"/>
          <w:sz w:val="30"/>
        </w:rPr>
        <w:t>第三部分  名词解释</w:t>
      </w:r>
    </w:p>
    <w:p w14:paraId="0235B915" w14:textId="77777777" w:rsidR="00EF00EA" w:rsidRDefault="003D0635">
      <w:pPr>
        <w:spacing w:line="560" w:lineRule="exact"/>
        <w:ind w:firstLine="900"/>
      </w:pPr>
      <w:r>
        <w:rPr>
          <w:rFonts w:ascii="仿宋" w:eastAsia="仿宋" w:hAnsi="仿宋" w:cs="仿宋"/>
          <w:b/>
          <w:color w:val="000000"/>
          <w:sz w:val="30"/>
        </w:rPr>
        <w:t>第四部分  2025年部门预算表</w:t>
      </w:r>
    </w:p>
    <w:p w14:paraId="620A1466" w14:textId="77777777" w:rsidR="00EF00EA" w:rsidRDefault="003D0635">
      <w:pPr>
        <w:spacing w:line="560" w:lineRule="exact"/>
        <w:ind w:firstLine="900"/>
      </w:pPr>
      <w:r>
        <w:rPr>
          <w:rFonts w:ascii="仿宋" w:eastAsia="仿宋" w:hAnsi="仿宋" w:cs="仿宋"/>
          <w:color w:val="000000"/>
          <w:sz w:val="30"/>
        </w:rPr>
        <w:t>一、部门收支总体情况表</w:t>
      </w:r>
    </w:p>
    <w:p w14:paraId="37BD741E" w14:textId="77777777" w:rsidR="00EF00EA" w:rsidRDefault="003D0635">
      <w:pPr>
        <w:spacing w:line="560" w:lineRule="exact"/>
        <w:ind w:firstLine="900"/>
      </w:pPr>
      <w:r>
        <w:rPr>
          <w:rFonts w:ascii="仿宋" w:eastAsia="仿宋" w:hAnsi="仿宋" w:cs="仿宋"/>
          <w:color w:val="000000"/>
          <w:sz w:val="30"/>
        </w:rPr>
        <w:t>二、部门收入总体情况表</w:t>
      </w:r>
    </w:p>
    <w:p w14:paraId="7A1C7312" w14:textId="77777777" w:rsidR="00EF00EA" w:rsidRDefault="003D0635">
      <w:pPr>
        <w:spacing w:line="560" w:lineRule="exact"/>
        <w:ind w:firstLine="900"/>
      </w:pPr>
      <w:r>
        <w:rPr>
          <w:rFonts w:ascii="仿宋" w:eastAsia="仿宋" w:hAnsi="仿宋" w:cs="仿宋"/>
          <w:color w:val="000000"/>
          <w:sz w:val="30"/>
        </w:rPr>
        <w:t>三、部门支出总体情况表</w:t>
      </w:r>
    </w:p>
    <w:p w14:paraId="30776104" w14:textId="77777777" w:rsidR="00EF00EA" w:rsidRDefault="003D0635">
      <w:pPr>
        <w:spacing w:line="560" w:lineRule="exact"/>
        <w:ind w:firstLine="900"/>
      </w:pPr>
      <w:r>
        <w:rPr>
          <w:rFonts w:ascii="仿宋" w:eastAsia="仿宋" w:hAnsi="仿宋" w:cs="仿宋"/>
          <w:color w:val="000000"/>
          <w:sz w:val="30"/>
        </w:rPr>
        <w:t>四、财政拨款收支总体情况表</w:t>
      </w:r>
    </w:p>
    <w:p w14:paraId="6ED1AA72" w14:textId="77777777" w:rsidR="00EF00EA" w:rsidRDefault="003D0635">
      <w:pPr>
        <w:spacing w:line="560" w:lineRule="exact"/>
        <w:ind w:firstLine="900"/>
      </w:pPr>
      <w:r>
        <w:rPr>
          <w:rFonts w:ascii="仿宋" w:eastAsia="仿宋" w:hAnsi="仿宋" w:cs="仿宋"/>
          <w:color w:val="000000"/>
          <w:sz w:val="30"/>
        </w:rPr>
        <w:t>五、一般公共预算支出情况表</w:t>
      </w:r>
    </w:p>
    <w:p w14:paraId="7C84C901" w14:textId="77777777" w:rsidR="00EF00EA" w:rsidRDefault="003D0635">
      <w:pPr>
        <w:spacing w:line="560" w:lineRule="exact"/>
        <w:ind w:firstLine="900"/>
      </w:pPr>
      <w:r>
        <w:rPr>
          <w:rFonts w:ascii="仿宋" w:eastAsia="仿宋" w:hAnsi="仿宋" w:cs="仿宋"/>
          <w:color w:val="000000"/>
          <w:sz w:val="30"/>
        </w:rPr>
        <w:t>六、一般公共预算基本支出情况表</w:t>
      </w:r>
    </w:p>
    <w:p w14:paraId="0D20134B" w14:textId="77777777" w:rsidR="00EF00EA" w:rsidRDefault="003D0635">
      <w:pPr>
        <w:spacing w:line="560" w:lineRule="exact"/>
        <w:ind w:firstLine="900"/>
      </w:pPr>
      <w:r>
        <w:rPr>
          <w:rFonts w:ascii="仿宋" w:eastAsia="仿宋" w:hAnsi="仿宋" w:cs="仿宋"/>
          <w:color w:val="000000"/>
          <w:sz w:val="30"/>
        </w:rPr>
        <w:t>七、一般公共预算“三公”经费支出情况表</w:t>
      </w:r>
    </w:p>
    <w:p w14:paraId="2290D554" w14:textId="77777777" w:rsidR="00EF00EA" w:rsidRDefault="003D0635">
      <w:pPr>
        <w:spacing w:line="560" w:lineRule="exact"/>
        <w:ind w:firstLine="900"/>
      </w:pPr>
      <w:r>
        <w:rPr>
          <w:rFonts w:ascii="仿宋" w:eastAsia="仿宋" w:hAnsi="仿宋" w:cs="仿宋"/>
          <w:color w:val="000000"/>
          <w:sz w:val="30"/>
        </w:rPr>
        <w:lastRenderedPageBreak/>
        <w:t>八、政府性基金预算支出情况表</w:t>
      </w:r>
    </w:p>
    <w:p w14:paraId="2954AA05" w14:textId="77777777" w:rsidR="00EF00EA" w:rsidRDefault="003D0635">
      <w:pPr>
        <w:spacing w:line="560" w:lineRule="exact"/>
        <w:ind w:firstLine="900"/>
      </w:pPr>
      <w:r>
        <w:rPr>
          <w:rFonts w:ascii="仿宋" w:eastAsia="仿宋" w:hAnsi="仿宋" w:cs="仿宋"/>
          <w:color w:val="000000"/>
          <w:sz w:val="30"/>
        </w:rPr>
        <w:t>九、国有资本经营预算支出情况表</w:t>
      </w:r>
    </w:p>
    <w:p w14:paraId="300B45A1" w14:textId="77777777" w:rsidR="00EF00EA" w:rsidRDefault="003D0635">
      <w:pPr>
        <w:spacing w:line="560" w:lineRule="exact"/>
        <w:ind w:firstLine="900"/>
      </w:pPr>
      <w:r>
        <w:rPr>
          <w:rFonts w:ascii="仿宋" w:eastAsia="仿宋" w:hAnsi="仿宋" w:cs="仿宋"/>
          <w:color w:val="000000"/>
          <w:sz w:val="30"/>
        </w:rPr>
        <w:t>十、项目支出表</w:t>
      </w:r>
    </w:p>
    <w:p w14:paraId="3B7AF3BA" w14:textId="77777777" w:rsidR="00EF00EA" w:rsidRDefault="003D0635">
      <w:pPr>
        <w:spacing w:line="560" w:lineRule="exact"/>
        <w:ind w:firstLine="900"/>
      </w:pPr>
      <w:r>
        <w:rPr>
          <w:rFonts w:ascii="仿宋" w:eastAsia="仿宋" w:hAnsi="仿宋" w:cs="仿宋"/>
          <w:color w:val="000000"/>
          <w:sz w:val="30"/>
        </w:rPr>
        <w:t>十一、关于空表的说明</w:t>
      </w:r>
    </w:p>
    <w:p w14:paraId="76E4EFEC" w14:textId="77777777" w:rsidR="00EF00EA" w:rsidRDefault="003D0635">
      <w:pPr>
        <w:pageBreakBefore/>
        <w:spacing w:line="560" w:lineRule="exact"/>
        <w:jc w:val="center"/>
      </w:pPr>
      <w:r>
        <w:rPr>
          <w:rFonts w:ascii="FZXiaoBiaoSong-B05S" w:eastAsia="FZXiaoBiaoSong-B05S" w:hAnsi="FZXiaoBiaoSong-B05S" w:cs="FZXiaoBiaoSong-B05S"/>
          <w:b/>
          <w:color w:val="000000"/>
          <w:sz w:val="48"/>
        </w:rPr>
        <w:lastRenderedPageBreak/>
        <w:t>第一部分 概况</w:t>
      </w:r>
    </w:p>
    <w:p w14:paraId="47D52A45" w14:textId="77777777" w:rsidR="00EF00EA" w:rsidRDefault="003D0635">
      <w:pPr>
        <w:spacing w:line="560" w:lineRule="exact"/>
        <w:ind w:firstLine="600"/>
      </w:pPr>
      <w:r>
        <w:rPr>
          <w:rFonts w:ascii="黑体" w:eastAsia="黑体" w:hAnsi="黑体" w:cs="黑体"/>
          <w:b/>
          <w:color w:val="353232"/>
          <w:sz w:val="30"/>
        </w:rPr>
        <w:t>一、主要职责</w:t>
      </w:r>
    </w:p>
    <w:p w14:paraId="57C36485" w14:textId="320A8FCA" w:rsidR="00EF00EA" w:rsidRDefault="003D0635">
      <w:pPr>
        <w:spacing w:line="560" w:lineRule="exact"/>
        <w:ind w:firstLine="600"/>
      </w:pPr>
      <w:r>
        <w:rPr>
          <w:rFonts w:ascii="仿宋" w:eastAsia="仿宋" w:hAnsi="仿宋" w:cs="仿宋"/>
          <w:color w:val="000000"/>
          <w:sz w:val="30"/>
        </w:rPr>
        <w:t>贯彻执行国家、市和区有关工业、工业信息化和信息产业方面的法律法规和方针政策，拟订有关政策。推进产业布局、产业产品结构调整优化升级，引导和扶持工业信息产业发展。监测分析工业和信息产业运行态势。负责本区工业技术改造的组织和实施工作。负责西青区企业技术中心的认定管理，会同有关部门组织国家、市级企业技术中心的申报、管理工作，推进工业企业技术创新体系建设，推动新兴产业发展。会同有关部门组织推动工业和信息产业招商引资工作。</w:t>
      </w:r>
      <w:r>
        <w:rPr>
          <w:rFonts w:ascii="仿宋" w:eastAsia="仿宋" w:hAnsi="仿宋" w:cs="仿宋"/>
          <w:color w:val="000000"/>
          <w:sz w:val="30"/>
        </w:rPr>
        <w:br/>
        <w:t xml:space="preserve">    组织推动全区通信基础设施建设工作。负责本领域安全生产管理，从行业规划、产业政策、法规标准方面加强行业安全生产工作，指导督促企业安全管理工作。完成区委、区政府交办的其他事项。</w:t>
      </w:r>
    </w:p>
    <w:p w14:paraId="7DF418C8" w14:textId="77777777" w:rsidR="00EF00EA" w:rsidRDefault="003D0635">
      <w:pPr>
        <w:spacing w:line="560" w:lineRule="exact"/>
        <w:ind w:firstLine="600"/>
      </w:pPr>
      <w:r>
        <w:rPr>
          <w:rFonts w:ascii="黑体" w:eastAsia="黑体" w:hAnsi="黑体" w:cs="黑体"/>
          <w:b/>
          <w:color w:val="000000"/>
          <w:sz w:val="30"/>
        </w:rPr>
        <w:t>二、机构设置情况</w:t>
      </w:r>
    </w:p>
    <w:p w14:paraId="1867A207" w14:textId="77777777" w:rsidR="00EF00EA" w:rsidRDefault="003D0635">
      <w:pPr>
        <w:spacing w:line="560" w:lineRule="exact"/>
        <w:ind w:firstLine="600"/>
      </w:pPr>
      <w:r>
        <w:rPr>
          <w:rFonts w:ascii="仿宋" w:eastAsia="仿宋" w:hAnsi="仿宋" w:cs="仿宋"/>
          <w:color w:val="000000"/>
          <w:sz w:val="30"/>
        </w:rPr>
        <w:t>天津市西青区工业和信息化局部门内设4个职能科室；下辖3个预算单位。</w:t>
      </w:r>
    </w:p>
    <w:p w14:paraId="5ABF9346" w14:textId="77777777" w:rsidR="00EF00EA" w:rsidRDefault="003D0635">
      <w:pPr>
        <w:spacing w:line="560" w:lineRule="exact"/>
        <w:ind w:firstLine="600"/>
      </w:pPr>
      <w:r>
        <w:rPr>
          <w:rFonts w:ascii="仿宋" w:eastAsia="仿宋" w:hAnsi="仿宋" w:cs="仿宋"/>
          <w:color w:val="000000"/>
          <w:sz w:val="30"/>
        </w:rPr>
        <w:t>纳入天津市西青区工业和信息化局部门2025年部门预算编制范围的预算单位包括：</w:t>
      </w:r>
    </w:p>
    <w:p w14:paraId="0281CF22" w14:textId="77777777" w:rsidR="00EF00EA" w:rsidRDefault="003D0635">
      <w:pPr>
        <w:spacing w:line="560" w:lineRule="exact"/>
        <w:ind w:firstLine="600"/>
      </w:pPr>
      <w:r>
        <w:rPr>
          <w:rFonts w:ascii="仿宋" w:eastAsia="仿宋" w:hAnsi="仿宋" w:cs="仿宋"/>
          <w:color w:val="000000"/>
          <w:sz w:val="30"/>
        </w:rPr>
        <w:t>1.天津市西青区工业和信息化局</w:t>
      </w:r>
    </w:p>
    <w:p w14:paraId="48F3F1A4" w14:textId="77777777" w:rsidR="00EF00EA" w:rsidRDefault="003D0635">
      <w:pPr>
        <w:spacing w:line="560" w:lineRule="exact"/>
        <w:ind w:firstLine="600"/>
      </w:pPr>
      <w:r>
        <w:rPr>
          <w:rFonts w:ascii="仿宋" w:eastAsia="仿宋" w:hAnsi="仿宋" w:cs="仿宋"/>
          <w:color w:val="000000"/>
          <w:sz w:val="30"/>
        </w:rPr>
        <w:t>2.天津市西青区工业发展促进中心</w:t>
      </w:r>
    </w:p>
    <w:p w14:paraId="5189F373" w14:textId="77777777" w:rsidR="00EF00EA" w:rsidRDefault="003D0635">
      <w:pPr>
        <w:spacing w:line="560" w:lineRule="exact"/>
        <w:ind w:firstLine="600"/>
      </w:pPr>
      <w:r>
        <w:rPr>
          <w:rFonts w:ascii="仿宋" w:eastAsia="仿宋" w:hAnsi="仿宋" w:cs="仿宋"/>
          <w:color w:val="000000"/>
          <w:sz w:val="30"/>
        </w:rPr>
        <w:t>3.天津市西青区工业信息化建设服务中心</w:t>
      </w:r>
    </w:p>
    <w:p w14:paraId="344D6F93" w14:textId="77777777" w:rsidR="00EF00EA" w:rsidRDefault="003D0635">
      <w:pPr>
        <w:pageBreakBefore/>
        <w:spacing w:line="560" w:lineRule="exact"/>
        <w:jc w:val="center"/>
      </w:pPr>
      <w:r>
        <w:rPr>
          <w:rFonts w:ascii="FZXiaoBiaoSong-B05S" w:eastAsia="FZXiaoBiaoSong-B05S" w:hAnsi="FZXiaoBiaoSong-B05S" w:cs="FZXiaoBiaoSong-B05S"/>
          <w:b/>
          <w:color w:val="000000"/>
          <w:sz w:val="48"/>
        </w:rPr>
        <w:lastRenderedPageBreak/>
        <w:t>第二部分  2025年度部门预算情况说明</w:t>
      </w:r>
    </w:p>
    <w:p w14:paraId="19BE2A5A" w14:textId="77777777" w:rsidR="00EF00EA" w:rsidRDefault="003D0635">
      <w:pPr>
        <w:spacing w:line="560" w:lineRule="exact"/>
        <w:ind w:firstLine="600"/>
      </w:pPr>
      <w:r>
        <w:rPr>
          <w:rFonts w:ascii="黑体" w:eastAsia="黑体" w:hAnsi="黑体" w:cs="黑体"/>
          <w:b/>
          <w:color w:val="000000"/>
          <w:sz w:val="30"/>
        </w:rPr>
        <w:t>一、关于收支总体情况表的说明</w:t>
      </w:r>
    </w:p>
    <w:p w14:paraId="2F6B9145" w14:textId="77777777" w:rsidR="00EF00EA" w:rsidRDefault="003D0635">
      <w:pPr>
        <w:spacing w:line="560" w:lineRule="exact"/>
        <w:ind w:firstLine="600"/>
      </w:pPr>
      <w:r>
        <w:rPr>
          <w:rFonts w:ascii="仿宋" w:eastAsia="仿宋" w:hAnsi="仿宋" w:cs="仿宋"/>
          <w:color w:val="000000"/>
          <w:sz w:val="30"/>
        </w:rPr>
        <w:t>按照综合预算的原则，天津市西青区工业和信息化局部门所有收入和支出均纳入部门预算管理。收入包括：一般公共预算拨款收入1,553.86万元、政府性基金预算拨款收入0万元、国有资本经营预算拨款收入0万元、财政专户管理资金收入0万元、事业收入0万元、事业单位经营收入0万元、上级补助收入0万元、附属单位上缴收入0万元、其他收入0万元、上年结转结余10,282.11万元；支出包括：资源勘探工业信息等支出1,735.32万元、教育支出0.63万元、科学技术支出9,751.30万元、社会保障和就业支出297.39万元、卫生健康支出51.33万元。天津市西青区工业和信息化局部门2025年收支总预算11,835.97万元。</w:t>
      </w:r>
    </w:p>
    <w:p w14:paraId="4CB0BDFC" w14:textId="77777777" w:rsidR="00EF00EA" w:rsidRDefault="003D0635">
      <w:pPr>
        <w:spacing w:line="560" w:lineRule="exact"/>
        <w:ind w:firstLine="600"/>
      </w:pPr>
      <w:r>
        <w:rPr>
          <w:rFonts w:ascii="黑体" w:eastAsia="黑体" w:hAnsi="黑体" w:cs="黑体"/>
          <w:b/>
          <w:color w:val="000000"/>
          <w:sz w:val="30"/>
        </w:rPr>
        <w:t>二、关于收入总体情况表的说明</w:t>
      </w:r>
    </w:p>
    <w:p w14:paraId="3375560C" w14:textId="77777777" w:rsidR="00EF00EA" w:rsidRDefault="003D0635">
      <w:pPr>
        <w:spacing w:line="560" w:lineRule="exact"/>
        <w:ind w:firstLine="600"/>
      </w:pPr>
      <w:r>
        <w:rPr>
          <w:rFonts w:ascii="仿宋" w:eastAsia="仿宋" w:hAnsi="仿宋" w:cs="仿宋"/>
          <w:color w:val="000000"/>
          <w:sz w:val="30"/>
        </w:rPr>
        <w:t>天津市西青区工业和信息化局部门2025年部门预算收入11,835.97万元，与上年预算相比减少2,890.76万元，主要原因是项目资金结转下年使用金额减少和人员变动。其中：上年结转结余10,282.11万元，占86.87%；一般公共预算1,553.86万元，占13.13%；政府性基金预算0万元，占0%；国有资本经营预算0万元，占0%；财政专户管理资金0万元，占0%；事业收入0万元，占0%；事业单位经营收入0万元，占0%；上级补助收入0万元，占0%；附属单位上缴收入0万元，占0%；其他收入0万元，占0%。</w:t>
      </w:r>
    </w:p>
    <w:p w14:paraId="3772DA9C" w14:textId="77777777" w:rsidR="00EF00EA" w:rsidRDefault="003D0635">
      <w:pPr>
        <w:spacing w:line="560" w:lineRule="exact"/>
        <w:ind w:firstLine="600"/>
      </w:pPr>
      <w:r>
        <w:rPr>
          <w:rFonts w:ascii="黑体" w:eastAsia="黑体" w:hAnsi="黑体" w:cs="黑体"/>
          <w:b/>
          <w:color w:val="000000"/>
          <w:sz w:val="30"/>
        </w:rPr>
        <w:t>三、关于支出总体情况表的说明</w:t>
      </w:r>
    </w:p>
    <w:p w14:paraId="4C395AC1" w14:textId="77777777" w:rsidR="00EF00EA" w:rsidRDefault="003D0635">
      <w:pPr>
        <w:spacing w:line="560" w:lineRule="exact"/>
        <w:ind w:firstLine="600"/>
      </w:pPr>
      <w:r>
        <w:rPr>
          <w:rFonts w:ascii="仿宋" w:eastAsia="仿宋" w:hAnsi="仿宋" w:cs="仿宋"/>
          <w:color w:val="000000"/>
          <w:sz w:val="30"/>
        </w:rPr>
        <w:lastRenderedPageBreak/>
        <w:t>天津市西青区工业和信息化局部门2025年支出预算11,835.97万元，与上年预算相比减少2,890.76万元，主要原因是项目资金结转下年使用金额减少和人员变动。其中：基本支出1,353.86万元，占11.44%；项目支出10,482.11万元，占88.56%；事业单位经营支出0万元，占0%；上缴上级支出0万元，占0%；对附属单位补助支出0万元，占0%。</w:t>
      </w:r>
    </w:p>
    <w:p w14:paraId="4F5B6DE9" w14:textId="77777777" w:rsidR="00EF00EA" w:rsidRDefault="003D0635">
      <w:pPr>
        <w:spacing w:line="560" w:lineRule="exact"/>
        <w:ind w:firstLine="600"/>
      </w:pPr>
      <w:r>
        <w:rPr>
          <w:rFonts w:ascii="黑体" w:eastAsia="黑体" w:hAnsi="黑体" w:cs="黑体"/>
          <w:b/>
          <w:color w:val="000000"/>
          <w:sz w:val="30"/>
        </w:rPr>
        <w:t>四、关于财政拨款收支总体情况表的说明</w:t>
      </w:r>
    </w:p>
    <w:p w14:paraId="01946EA5" w14:textId="77777777" w:rsidR="00EF00EA" w:rsidRDefault="003D0635">
      <w:pPr>
        <w:spacing w:line="560" w:lineRule="exact"/>
        <w:ind w:firstLine="600"/>
      </w:pPr>
      <w:r>
        <w:rPr>
          <w:rFonts w:ascii="仿宋" w:eastAsia="仿宋" w:hAnsi="仿宋" w:cs="仿宋"/>
          <w:color w:val="000000"/>
          <w:sz w:val="30"/>
        </w:rPr>
        <w:t>天津市西青区工业和信息化局部门2025年财政拨款收入预算11,835.97万元，与上年预算相比减少2,890.76万元，主要原因是项目资金结转下年使用金额减少和人员变动。收入包括：一般公共预算拨款收入1,553.86万元、政府性基金预算拨款收入0万元、上年财政结转结余10,282.11万元、国有资本经营预算拨款收入0万元、2025年财政拨款支出预算11,835.97万元，与上年预算相比减少2,890.76万元，主要原因是项目资金结转下年使用金额减少和人员变动。支出包括：教育支出0.63万元 ；科学技术支出9,751.30万元 ；社会保障和就业支出297.39万元 ；卫生健康支出51.33万元 ；资源勘探工业信息等支出1,735.32万元。</w:t>
      </w:r>
    </w:p>
    <w:p w14:paraId="3665721B" w14:textId="77777777" w:rsidR="00EF00EA" w:rsidRDefault="003D0635">
      <w:pPr>
        <w:spacing w:line="560" w:lineRule="exact"/>
        <w:ind w:firstLine="600"/>
      </w:pPr>
      <w:r>
        <w:rPr>
          <w:rFonts w:ascii="黑体" w:eastAsia="黑体" w:hAnsi="黑体" w:cs="黑体"/>
          <w:b/>
          <w:color w:val="000000"/>
          <w:sz w:val="30"/>
        </w:rPr>
        <w:t>五、关于一般公共预算支出情况表的说明</w:t>
      </w:r>
    </w:p>
    <w:p w14:paraId="6CD73832" w14:textId="77777777" w:rsidR="00EF00EA" w:rsidRDefault="003D0635">
      <w:pPr>
        <w:spacing w:line="560" w:lineRule="exact"/>
        <w:ind w:firstLine="600"/>
      </w:pPr>
      <w:r>
        <w:rPr>
          <w:rFonts w:ascii="楷体" w:eastAsia="楷体" w:hAnsi="楷体" w:cs="楷体"/>
          <w:b/>
          <w:color w:val="000000"/>
          <w:sz w:val="30"/>
        </w:rPr>
        <w:t>（一）总体情况</w:t>
      </w:r>
    </w:p>
    <w:p w14:paraId="1793B8EC" w14:textId="77777777" w:rsidR="00EF00EA" w:rsidRDefault="003D0635">
      <w:pPr>
        <w:spacing w:line="560" w:lineRule="exact"/>
        <w:ind w:firstLine="600"/>
      </w:pPr>
      <w:r>
        <w:rPr>
          <w:rFonts w:ascii="仿宋" w:eastAsia="仿宋" w:hAnsi="仿宋" w:cs="仿宋"/>
          <w:color w:val="000000"/>
          <w:sz w:val="30"/>
        </w:rPr>
        <w:t>天津市西青区工业和信息化局部门2025年一般公共预算支出11,835.97万元(上年14,726.73万元），与上年预算相比减少2,890.76万元，主要原因是项目资金结转下年使用金额减少和人员变动。</w:t>
      </w:r>
    </w:p>
    <w:p w14:paraId="1929F8CC" w14:textId="77777777" w:rsidR="00EF00EA" w:rsidRDefault="003D0635">
      <w:pPr>
        <w:spacing w:line="560" w:lineRule="exact"/>
        <w:ind w:firstLine="600"/>
      </w:pPr>
      <w:r>
        <w:rPr>
          <w:rFonts w:ascii="楷体" w:eastAsia="楷体" w:hAnsi="楷体" w:cs="楷体"/>
          <w:b/>
          <w:color w:val="000000"/>
          <w:sz w:val="30"/>
        </w:rPr>
        <w:lastRenderedPageBreak/>
        <w:t>（二）具体情况</w:t>
      </w:r>
    </w:p>
    <w:p w14:paraId="7A3A7363" w14:textId="77777777" w:rsidR="00EF00EA" w:rsidRDefault="003D0635">
      <w:pPr>
        <w:spacing w:line="560" w:lineRule="exact"/>
        <w:ind w:firstLine="600"/>
      </w:pPr>
      <w:r>
        <w:rPr>
          <w:rFonts w:ascii="仿宋" w:eastAsia="仿宋" w:hAnsi="仿宋" w:cs="仿宋"/>
          <w:color w:val="000000"/>
          <w:sz w:val="30"/>
        </w:rPr>
        <w:t>1、“教育支出（类）”0.63万元，与上年预算相比增加0.17万元，主要原因是人员变动，其中：“进修及培训（款）”0.63万元，包括：“培训支出（项）”0.63万元，主要用于培训支出。</w:t>
      </w:r>
    </w:p>
    <w:p w14:paraId="2F698F88" w14:textId="77777777" w:rsidR="00EF00EA" w:rsidRDefault="003D0635">
      <w:pPr>
        <w:spacing w:line="560" w:lineRule="exact"/>
        <w:ind w:firstLine="600"/>
      </w:pPr>
      <w:r>
        <w:rPr>
          <w:rFonts w:ascii="仿宋" w:eastAsia="仿宋" w:hAnsi="仿宋" w:cs="仿宋"/>
          <w:color w:val="000000"/>
          <w:sz w:val="30"/>
        </w:rPr>
        <w:t>2、“科学技术支出（类）”9,751.30万元，与上年预算相比减少374.13万元，主要原因是上年结转项目预算减少，其中：“技术研究与开发（款）”9,751.30万元，包括：“其他技术研究与开发支出（项）”9,751.30万元，主要用于其他技术研究与开发支出。</w:t>
      </w:r>
    </w:p>
    <w:p w14:paraId="7FB423E7" w14:textId="77777777" w:rsidR="00EF00EA" w:rsidRDefault="003D0635">
      <w:pPr>
        <w:spacing w:line="560" w:lineRule="exact"/>
        <w:ind w:firstLine="600"/>
      </w:pPr>
      <w:r>
        <w:rPr>
          <w:rFonts w:ascii="仿宋" w:eastAsia="仿宋" w:hAnsi="仿宋" w:cs="仿宋"/>
          <w:color w:val="000000"/>
          <w:sz w:val="30"/>
        </w:rPr>
        <w:t>3、“社会保障和就业支出（类）”297.39万元，与上年预算相比增加178.28万元，主要原因是项目预算增加，其中：“人力资源和社会保障管理事务（款）”176.00万元，包括：“引进人才费用（项）”176.00万元，主要用于引进人才费用支出。</w:t>
      </w:r>
    </w:p>
    <w:p w14:paraId="3CD24A68" w14:textId="77777777" w:rsidR="00EF00EA" w:rsidRDefault="003D0635">
      <w:pPr>
        <w:spacing w:line="560" w:lineRule="exact"/>
        <w:ind w:firstLine="600"/>
      </w:pPr>
      <w:r>
        <w:rPr>
          <w:rFonts w:ascii="仿宋" w:eastAsia="仿宋" w:hAnsi="仿宋" w:cs="仿宋"/>
          <w:color w:val="000000"/>
          <w:sz w:val="30"/>
        </w:rPr>
        <w:t>“行政事业单位养老支出（款）”121.39万元，包括：“行政单位离退休（项）”12.87万元，主要用于行政单位离退休费支出；“事业单位离退休（项）”1.33万元，主要用于事业单位离退休费支出；“机关事业单位基本养老保险缴费支出（项）”71.46万元，主要用于机关事业单位基本养老保险缴费支出；“机关事业单位职业年金缴费支出（项）”35.73万元，主要用于机关事业单位职业年金缴费支出。</w:t>
      </w:r>
    </w:p>
    <w:p w14:paraId="6A7D4A6D" w14:textId="77777777" w:rsidR="00EF00EA" w:rsidRDefault="003D0635">
      <w:pPr>
        <w:spacing w:line="560" w:lineRule="exact"/>
        <w:ind w:firstLine="600"/>
      </w:pPr>
      <w:r>
        <w:rPr>
          <w:rFonts w:ascii="仿宋" w:eastAsia="仿宋" w:hAnsi="仿宋" w:cs="仿宋"/>
          <w:color w:val="000000"/>
          <w:sz w:val="30"/>
        </w:rPr>
        <w:t>4、“卫生健康支出（类）”51.33万元，与上年预算相比减少1.34万元，主要原因是人员变动，其中：“行政事业单位</w:t>
      </w:r>
      <w:r>
        <w:rPr>
          <w:rFonts w:ascii="仿宋" w:eastAsia="仿宋" w:hAnsi="仿宋" w:cs="仿宋"/>
          <w:color w:val="000000"/>
          <w:sz w:val="30"/>
        </w:rPr>
        <w:lastRenderedPageBreak/>
        <w:t>医疗（款）”51.33万元，包括：“行政单位医疗（项）”23.52万元，主要用于行政单位医疗保险支出；“事业单位医疗（项）”21.14万元，主要用于事业单位医疗保险支出；“公务员医疗补助（项）”4.70万元，主要用于公务员医疗补助支出；“其他行政事业单位医疗支出（项）”1.96万元，主要用于其他行政事业单位医疗支出。</w:t>
      </w:r>
    </w:p>
    <w:p w14:paraId="639D1ED9" w14:textId="77777777" w:rsidR="00EF00EA" w:rsidRDefault="003D0635">
      <w:pPr>
        <w:spacing w:line="560" w:lineRule="exact"/>
        <w:ind w:firstLine="600"/>
      </w:pPr>
      <w:r>
        <w:rPr>
          <w:rFonts w:ascii="仿宋" w:eastAsia="仿宋" w:hAnsi="仿宋" w:cs="仿宋"/>
          <w:color w:val="000000"/>
          <w:sz w:val="30"/>
        </w:rPr>
        <w:t>5、“资源勘探工业信息等支出（类）”1,735.32万元，与上年预算相比减少2,693.74万元，主要原因是人员变动以及项目预算减少，其中：“工业和信息产业（款）”1,204.51万元，包括：“行政运行（工业和信息产业监管）（项）”756.46万元，主要用于行政运行人员经费和公用经费支出；“一般行政管理事务（工业和信息产业监管）（项）”24.00万元，主要用于办公设备购置以及项目预算支出；“其他工业和信息产业监管支出（项）”424.06万元，主要用于其他工业和信息产业监管支出。</w:t>
      </w:r>
    </w:p>
    <w:p w14:paraId="1DB55036" w14:textId="77777777" w:rsidR="00EF00EA" w:rsidRDefault="003D0635">
      <w:pPr>
        <w:spacing w:line="560" w:lineRule="exact"/>
        <w:ind w:firstLine="600"/>
      </w:pPr>
      <w:r>
        <w:rPr>
          <w:rFonts w:ascii="仿宋" w:eastAsia="仿宋" w:hAnsi="仿宋" w:cs="仿宋"/>
          <w:color w:val="000000"/>
          <w:sz w:val="30"/>
        </w:rPr>
        <w:t>“支持中小企业发展和管理支出（款）”530.81万元，包括：“中小企业发展专项（项）”530.81万元，主要用于中小企业发展专项支出。</w:t>
      </w:r>
    </w:p>
    <w:p w14:paraId="4FD2F83D" w14:textId="77777777" w:rsidR="00EF00EA" w:rsidRDefault="003D0635">
      <w:pPr>
        <w:spacing w:line="560" w:lineRule="exact"/>
        <w:ind w:firstLine="600"/>
      </w:pPr>
      <w:r>
        <w:rPr>
          <w:rFonts w:ascii="黑体" w:eastAsia="黑体" w:hAnsi="黑体" w:cs="黑体"/>
          <w:b/>
          <w:color w:val="000000"/>
          <w:sz w:val="30"/>
        </w:rPr>
        <w:t>六、关于一般公共预算基本支出情况表的说明</w:t>
      </w:r>
    </w:p>
    <w:p w14:paraId="6B8A2715" w14:textId="77777777" w:rsidR="00EF00EA" w:rsidRDefault="003D0635">
      <w:pPr>
        <w:spacing w:line="560" w:lineRule="exact"/>
        <w:ind w:firstLine="600"/>
      </w:pPr>
      <w:r>
        <w:rPr>
          <w:rFonts w:ascii="仿宋" w:eastAsia="仿宋" w:hAnsi="仿宋" w:cs="仿宋"/>
          <w:color w:val="000000"/>
          <w:sz w:val="30"/>
        </w:rPr>
        <w:t>天津市西青区工业和信息化局部门2025年一般公共预算基本支出 1,353.86万元，与上年预算相比增加40.91万元，主要原因是人员变动，其中：人员经费 961.45万元，主要包括：基本工资、津贴补贴、奖金、绩效工资、机关事业单位基本养老保险缴费、职业年金缴费、职工基本医疗保险缴费、公务员</w:t>
      </w:r>
      <w:r>
        <w:rPr>
          <w:rFonts w:ascii="仿宋" w:eastAsia="仿宋" w:hAnsi="仿宋" w:cs="仿宋"/>
          <w:color w:val="000000"/>
          <w:sz w:val="30"/>
        </w:rPr>
        <w:lastRenderedPageBreak/>
        <w:t>医疗补助缴费、其他社会保障缴费、住房公积金、医疗费、其他工资福利支出、退休费、生活补助、医疗费补助、奖励金、其他对个人和家庭的补助等；</w:t>
      </w:r>
    </w:p>
    <w:p w14:paraId="2E0A3230" w14:textId="77777777" w:rsidR="00EF00EA" w:rsidRDefault="003D0635">
      <w:pPr>
        <w:spacing w:line="560" w:lineRule="exact"/>
        <w:ind w:firstLine="600"/>
      </w:pPr>
      <w:r>
        <w:rPr>
          <w:rFonts w:ascii="仿宋" w:eastAsia="仿宋" w:hAnsi="仿宋" w:cs="仿宋"/>
          <w:color w:val="000000"/>
          <w:sz w:val="30"/>
        </w:rPr>
        <w:t>公用经费392.41万元，主要包括：办公费、水费、电费、邮电费、取暖费、物业管理费、差旅费、维修（护）费、租赁费、培训费、委托业务费、工会经费、福利费、其他交通费用、其他商品和服务支出、办公设备购置等。</w:t>
      </w:r>
    </w:p>
    <w:p w14:paraId="58342218" w14:textId="77777777" w:rsidR="00EF00EA" w:rsidRDefault="003D0635">
      <w:pPr>
        <w:spacing w:line="560" w:lineRule="exact"/>
        <w:ind w:firstLine="600"/>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2025年一般公共预算“三公”经费安排0万元，与2024年预算相比增加0.00万元，主要原因是本部门一般公共预算未安排“三公”经费。</w:t>
      </w:r>
    </w:p>
    <w:p w14:paraId="630CD792" w14:textId="77777777" w:rsidR="00EF00EA" w:rsidRDefault="003D0635">
      <w:pPr>
        <w:spacing w:line="560" w:lineRule="exact"/>
        <w:ind w:firstLine="600"/>
      </w:pPr>
      <w:r>
        <w:rPr>
          <w:rFonts w:ascii="仿宋" w:eastAsia="仿宋" w:hAnsi="仿宋" w:cs="仿宋"/>
          <w:color w:val="000000"/>
          <w:sz w:val="30"/>
        </w:rPr>
        <w:t>具体情况：</w:t>
      </w:r>
    </w:p>
    <w:p w14:paraId="7EB6E89B" w14:textId="77777777" w:rsidR="00EF00EA" w:rsidRDefault="003D0635">
      <w:pPr>
        <w:spacing w:line="560" w:lineRule="exact"/>
        <w:ind w:firstLine="600"/>
      </w:pPr>
      <w:r>
        <w:rPr>
          <w:rFonts w:ascii="仿宋" w:eastAsia="仿宋" w:hAnsi="仿宋" w:cs="仿宋"/>
          <w:color w:val="000000"/>
          <w:sz w:val="30"/>
        </w:rPr>
        <w:t>一、2025年因公出国（境）费预算0万元，与2024年预算相比增加0.00万元，主要原因是本部门一般公共预算未安排“三公”经费。</w:t>
      </w:r>
    </w:p>
    <w:p w14:paraId="4A068A14" w14:textId="77777777" w:rsidR="00EF00EA" w:rsidRDefault="003D0635">
      <w:pPr>
        <w:spacing w:line="560" w:lineRule="exact"/>
        <w:ind w:firstLine="600"/>
      </w:pPr>
      <w:r>
        <w:rPr>
          <w:rFonts w:ascii="仿宋" w:eastAsia="仿宋" w:hAnsi="仿宋" w:cs="仿宋"/>
          <w:color w:val="000000"/>
          <w:sz w:val="30"/>
        </w:rPr>
        <w:t>二、2025年公务用车购置及运行费预算0万元，</w:t>
      </w:r>
    </w:p>
    <w:p w14:paraId="77EC0032" w14:textId="77777777" w:rsidR="00EF00EA" w:rsidRDefault="003D0635">
      <w:pPr>
        <w:spacing w:line="560" w:lineRule="exact"/>
        <w:ind w:firstLine="600"/>
      </w:pPr>
      <w:r>
        <w:rPr>
          <w:rFonts w:ascii="仿宋" w:eastAsia="仿宋" w:hAnsi="仿宋" w:cs="仿宋"/>
          <w:color w:val="000000"/>
          <w:sz w:val="30"/>
        </w:rPr>
        <w:t>其中公务用车运行费0万元，与2024年预算相比增加0万元，主要原因是本部门一般公共预算未安排“三公”经费；公务用车购置费0万元，与2024年预算相比增加0万元，主要原因是本部门一般公共预算未安排“三公”经费。</w:t>
      </w:r>
    </w:p>
    <w:p w14:paraId="33D083B0" w14:textId="77777777" w:rsidR="00EF00EA" w:rsidRDefault="003D0635">
      <w:pPr>
        <w:spacing w:line="560" w:lineRule="exact"/>
        <w:ind w:firstLine="600"/>
      </w:pPr>
      <w:r>
        <w:rPr>
          <w:rFonts w:ascii="仿宋" w:eastAsia="仿宋" w:hAnsi="仿宋" w:cs="仿宋"/>
          <w:color w:val="000000"/>
          <w:sz w:val="30"/>
        </w:rPr>
        <w:t>三、2025年公务接待费预算0万元，与2024年预算相比增加0万元，主要原因是本部门一般公共预算未安排“三公”经费。</w:t>
      </w:r>
    </w:p>
    <w:p w14:paraId="6158C4C9" w14:textId="77777777" w:rsidR="00EF00EA" w:rsidRDefault="003D0635">
      <w:pPr>
        <w:spacing w:line="560" w:lineRule="exact"/>
        <w:ind w:firstLine="600"/>
      </w:pPr>
      <w:r>
        <w:rPr>
          <w:rFonts w:ascii="黑体" w:eastAsia="黑体" w:hAnsi="黑体" w:cs="黑体"/>
          <w:b/>
          <w:color w:val="000000"/>
          <w:sz w:val="30"/>
        </w:rPr>
        <w:t>八、关于政府性基金预算支出情况表的说明</w:t>
      </w:r>
    </w:p>
    <w:p w14:paraId="258248A9" w14:textId="77777777" w:rsidR="00EF00EA" w:rsidRDefault="003D0635">
      <w:pPr>
        <w:spacing w:line="560" w:lineRule="exact"/>
        <w:ind w:firstLine="600"/>
      </w:pPr>
      <w:r>
        <w:rPr>
          <w:rFonts w:ascii="仿宋" w:eastAsia="仿宋" w:hAnsi="仿宋" w:cs="仿宋"/>
          <w:color w:val="000000"/>
          <w:sz w:val="30"/>
        </w:rPr>
        <w:lastRenderedPageBreak/>
        <w:t>2025年天津市西青区工业和信息化局部门预算中没有使用政府性基金预算安排的支出。</w:t>
      </w:r>
    </w:p>
    <w:p w14:paraId="122A359E" w14:textId="77777777" w:rsidR="00EF00EA" w:rsidRDefault="003D0635">
      <w:pPr>
        <w:spacing w:line="560" w:lineRule="exact"/>
        <w:ind w:firstLine="600"/>
      </w:pPr>
      <w:r>
        <w:rPr>
          <w:rFonts w:ascii="黑体" w:eastAsia="黑体" w:hAnsi="黑体" w:cs="黑体"/>
          <w:b/>
          <w:color w:val="000000"/>
          <w:sz w:val="30"/>
        </w:rPr>
        <w:t>九、关于国有资本经营预算支出情况表的说明</w:t>
      </w:r>
    </w:p>
    <w:p w14:paraId="7857A70B" w14:textId="77777777" w:rsidR="00EF00EA" w:rsidRDefault="003D0635">
      <w:pPr>
        <w:spacing w:line="560" w:lineRule="exact"/>
        <w:ind w:firstLine="600"/>
      </w:pPr>
      <w:r>
        <w:rPr>
          <w:rFonts w:ascii="仿宋" w:eastAsia="仿宋" w:hAnsi="仿宋" w:cs="仿宋"/>
          <w:color w:val="000000"/>
          <w:sz w:val="30"/>
        </w:rPr>
        <w:t>2025</w:t>
      </w:r>
      <w:r w:rsidR="00087F06">
        <w:rPr>
          <w:rFonts w:ascii="仿宋" w:eastAsia="仿宋" w:hAnsi="仿宋" w:cs="仿宋"/>
          <w:color w:val="000000"/>
          <w:sz w:val="30"/>
        </w:rPr>
        <w:t>年天津市西青区工业和信息化局部门预算中没有使用国有资本经营</w:t>
      </w:r>
      <w:r>
        <w:rPr>
          <w:rFonts w:ascii="仿宋" w:eastAsia="仿宋" w:hAnsi="仿宋" w:cs="仿宋"/>
          <w:color w:val="000000"/>
          <w:sz w:val="30"/>
        </w:rPr>
        <w:t>预算安排的支出。</w:t>
      </w:r>
    </w:p>
    <w:p w14:paraId="55B0371F" w14:textId="77777777" w:rsidR="00EF00EA" w:rsidRDefault="003D0635">
      <w:pPr>
        <w:spacing w:line="560" w:lineRule="exact"/>
        <w:ind w:firstLine="600"/>
      </w:pPr>
      <w:r>
        <w:rPr>
          <w:rFonts w:ascii="黑体" w:eastAsia="黑体" w:hAnsi="黑体" w:cs="黑体"/>
          <w:b/>
          <w:color w:val="000000"/>
          <w:sz w:val="30"/>
        </w:rPr>
        <w:t>十、其他重要事项的情况说明</w:t>
      </w:r>
    </w:p>
    <w:p w14:paraId="643F9047" w14:textId="77777777" w:rsidR="00EF00EA" w:rsidRDefault="003D0635">
      <w:pPr>
        <w:spacing w:line="560" w:lineRule="exact"/>
        <w:ind w:firstLine="600"/>
      </w:pPr>
      <w:r>
        <w:rPr>
          <w:rFonts w:ascii="楷体" w:eastAsia="楷体" w:hAnsi="楷体" w:cs="楷体"/>
          <w:b/>
          <w:color w:val="000000"/>
          <w:sz w:val="30"/>
        </w:rPr>
        <w:t>（一）机关运行经费。</w:t>
      </w:r>
    </w:p>
    <w:p w14:paraId="758EE2D5" w14:textId="77777777" w:rsidR="00EF00EA" w:rsidRDefault="003D0635">
      <w:pPr>
        <w:spacing w:line="560" w:lineRule="exact"/>
        <w:ind w:firstLine="600"/>
      </w:pPr>
      <w:r>
        <w:rPr>
          <w:rFonts w:ascii="仿宋" w:eastAsia="仿宋" w:hAnsi="仿宋" w:cs="仿宋"/>
          <w:color w:val="000000"/>
          <w:sz w:val="30"/>
        </w:rPr>
        <w:t>本部门2025年天津市西青区工业和信息化局1家行政单位以及0家参公管理事业单位的机关运行经费预算343.27万元，包括办公费8.03万元、水费1.26万元、电费26.47万元、邮电费1.26万元、取暖费14.04万元、物业管理费23.13万元、差旅费1.18万元、维修(护)费1.26万元、租赁费220.00万元、培训费0.21万元、委托业务费2.40万元、工会经费6.36万元、福利费4.70万元、</w:t>
      </w:r>
    </w:p>
    <w:p w14:paraId="05A10CEE" w14:textId="77777777" w:rsidR="00EF00EA" w:rsidRDefault="003D0635">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71.51万元，其中：政府采购货物支出4.00万元、政府采购工程支出0万元、政府采购服务支出67.51万元。主要项目是：物业管理及食堂伙食费项目67.51万元，购买计算机等设备和复印纸项目4万元。</w:t>
      </w:r>
    </w:p>
    <w:p w14:paraId="0E79AA35" w14:textId="77777777" w:rsidR="00EF00EA" w:rsidRDefault="003D0635">
      <w:pPr>
        <w:spacing w:line="560" w:lineRule="exact"/>
        <w:ind w:firstLine="600"/>
      </w:pPr>
      <w:r>
        <w:rPr>
          <w:rFonts w:ascii="楷体" w:eastAsia="楷体" w:hAnsi="楷体" w:cs="楷体"/>
          <w:b/>
          <w:color w:val="000000"/>
          <w:sz w:val="30"/>
        </w:rPr>
        <w:t>（三）国有资产占用情况</w:t>
      </w:r>
    </w:p>
    <w:p w14:paraId="6C835904" w14:textId="77777777" w:rsidR="00EF00EA" w:rsidRDefault="003D0635">
      <w:pPr>
        <w:spacing w:line="560" w:lineRule="exact"/>
        <w:ind w:firstLine="600"/>
      </w:pPr>
      <w:r>
        <w:rPr>
          <w:rFonts w:ascii="仿宋" w:eastAsia="仿宋" w:hAnsi="仿宋" w:cs="仿宋"/>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w:t>
      </w:r>
      <w:r>
        <w:rPr>
          <w:rFonts w:ascii="仿宋" w:eastAsia="仿宋" w:hAnsi="仿宋" w:cs="仿宋"/>
          <w:color w:val="000000"/>
          <w:sz w:val="30"/>
        </w:rPr>
        <w:lastRenderedPageBreak/>
        <w:t>其他用车主要包括0。单价（账面原值）100万以上的设备0台（套）。</w:t>
      </w:r>
    </w:p>
    <w:p w14:paraId="05FADD47" w14:textId="77777777" w:rsidR="00EF00EA" w:rsidRDefault="003D0635">
      <w:pPr>
        <w:spacing w:line="560" w:lineRule="exact"/>
        <w:ind w:firstLine="600"/>
      </w:pPr>
      <w:r>
        <w:rPr>
          <w:rFonts w:ascii="楷体" w:eastAsia="楷体" w:hAnsi="楷体" w:cs="楷体"/>
          <w:b/>
          <w:color w:val="000000"/>
          <w:sz w:val="30"/>
        </w:rPr>
        <w:t>（四）预算绩效情况说明。</w:t>
      </w:r>
    </w:p>
    <w:p w14:paraId="040792C9" w14:textId="77777777" w:rsidR="00EF00EA" w:rsidRDefault="003D0635">
      <w:pPr>
        <w:spacing w:line="560" w:lineRule="exact"/>
        <w:ind w:firstLine="600"/>
      </w:pPr>
      <w:r>
        <w:rPr>
          <w:rFonts w:ascii="仿宋" w:eastAsia="仿宋" w:hAnsi="仿宋" w:cs="仿宋"/>
          <w:color w:val="000000"/>
          <w:sz w:val="30"/>
        </w:rPr>
        <w:t>天津市西青区工业和信息化局部门2025年实行绩效目标管理的项目11个，涉及预算金额10482.11万元。</w:t>
      </w:r>
    </w:p>
    <w:p w14:paraId="3196E005" w14:textId="77777777" w:rsidR="00EF00EA" w:rsidRDefault="003D0635">
      <w:pPr>
        <w:pageBreakBefore/>
        <w:spacing w:line="560" w:lineRule="exact"/>
        <w:jc w:val="center"/>
      </w:pPr>
      <w:r>
        <w:rPr>
          <w:rFonts w:ascii="黑体" w:eastAsia="黑体" w:hAnsi="黑体" w:cs="黑体"/>
          <w:b/>
          <w:color w:val="000000"/>
          <w:sz w:val="48"/>
        </w:rPr>
        <w:lastRenderedPageBreak/>
        <w:t>第三部分  名词解释</w:t>
      </w:r>
    </w:p>
    <w:p w14:paraId="041CDFBC" w14:textId="77777777" w:rsidR="00EF00EA" w:rsidRDefault="003D0635">
      <w:pPr>
        <w:spacing w:line="560" w:lineRule="exact"/>
        <w:ind w:firstLine="560"/>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2BFE073" w14:textId="77777777" w:rsidR="00EF00EA" w:rsidRDefault="003D0635">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6127B9C" w14:textId="77777777" w:rsidR="00EF00EA" w:rsidRDefault="003D0635">
      <w:pPr>
        <w:spacing w:line="560" w:lineRule="exact"/>
        <w:ind w:firstLine="560"/>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3E1CF5BA" w14:textId="77777777" w:rsidR="00EF00EA" w:rsidRDefault="003D0635">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780BA354" w14:textId="77777777" w:rsidR="00EF00EA" w:rsidRDefault="003D0635">
      <w:pPr>
        <w:pageBreakBefore/>
        <w:spacing w:line="2000" w:lineRule="exact"/>
        <w:jc w:val="center"/>
      </w:pPr>
      <w:r>
        <w:rPr>
          <w:rFonts w:ascii="FZXiaoBiaoSong-B05S" w:eastAsia="FZXiaoBiaoSong-B05S" w:hAnsi="FZXiaoBiaoSong-B05S" w:cs="FZXiaoBiaoSong-B05S"/>
          <w:b/>
          <w:color w:val="000000"/>
          <w:sz w:val="48"/>
        </w:rPr>
        <w:lastRenderedPageBreak/>
        <w:t>第四部分   2025年部门预算表</w:t>
      </w:r>
    </w:p>
    <w:p w14:paraId="7185C7A5" w14:textId="77777777" w:rsidR="00EF00EA" w:rsidRDefault="003D0635">
      <w:pPr>
        <w:spacing w:line="560" w:lineRule="exact"/>
      </w:pPr>
      <w:r>
        <w:rPr>
          <w:rFonts w:ascii="楷体" w:eastAsia="楷体" w:hAnsi="楷体" w:cs="楷体"/>
          <w:b/>
          <w:color w:val="000000"/>
          <w:sz w:val="30"/>
        </w:rPr>
        <w:t>一、《部门收支总体情况表》</w:t>
      </w:r>
    </w:p>
    <w:p w14:paraId="34490824" w14:textId="77777777" w:rsidR="00EF00EA" w:rsidRDefault="003D0635">
      <w:pPr>
        <w:spacing w:line="560" w:lineRule="exact"/>
      </w:pPr>
      <w:r>
        <w:rPr>
          <w:rFonts w:ascii="楷体" w:eastAsia="楷体" w:hAnsi="楷体" w:cs="楷体"/>
          <w:b/>
          <w:color w:val="000000"/>
          <w:sz w:val="30"/>
        </w:rPr>
        <w:t>二、《部门收入总体情况表》</w:t>
      </w:r>
    </w:p>
    <w:p w14:paraId="70CA2903" w14:textId="77777777" w:rsidR="00EF00EA" w:rsidRDefault="003D0635">
      <w:pPr>
        <w:spacing w:line="560" w:lineRule="exact"/>
      </w:pPr>
      <w:r>
        <w:rPr>
          <w:rFonts w:ascii="楷体" w:eastAsia="楷体" w:hAnsi="楷体" w:cs="楷体"/>
          <w:b/>
          <w:color w:val="000000"/>
          <w:sz w:val="30"/>
        </w:rPr>
        <w:t>三、《部门支出总体情况表》</w:t>
      </w:r>
    </w:p>
    <w:p w14:paraId="1694536D" w14:textId="77777777" w:rsidR="00EF00EA" w:rsidRDefault="003D0635">
      <w:pPr>
        <w:spacing w:line="560" w:lineRule="exact"/>
      </w:pPr>
      <w:r>
        <w:rPr>
          <w:rFonts w:ascii="楷体" w:eastAsia="楷体" w:hAnsi="楷体" w:cs="楷体"/>
          <w:b/>
          <w:color w:val="000000"/>
          <w:sz w:val="30"/>
        </w:rPr>
        <w:t>四、《财政拨款收支总体情况表》</w:t>
      </w:r>
    </w:p>
    <w:p w14:paraId="53512F79" w14:textId="77777777" w:rsidR="00EF00EA" w:rsidRDefault="003D0635">
      <w:pPr>
        <w:spacing w:line="560" w:lineRule="exact"/>
      </w:pPr>
      <w:r>
        <w:rPr>
          <w:rFonts w:ascii="楷体" w:eastAsia="楷体" w:hAnsi="楷体" w:cs="楷体"/>
          <w:b/>
          <w:color w:val="000000"/>
          <w:sz w:val="30"/>
        </w:rPr>
        <w:t>五、《一般公共预算支出情况表》</w:t>
      </w:r>
    </w:p>
    <w:p w14:paraId="6C971B9B" w14:textId="77777777" w:rsidR="00EF00EA" w:rsidRDefault="003D0635">
      <w:pPr>
        <w:spacing w:line="560" w:lineRule="exact"/>
      </w:pPr>
      <w:r>
        <w:rPr>
          <w:rFonts w:ascii="楷体" w:eastAsia="楷体" w:hAnsi="楷体" w:cs="楷体"/>
          <w:b/>
          <w:color w:val="000000"/>
          <w:sz w:val="30"/>
        </w:rPr>
        <w:t>六、《一般公共预算基本支出情况表》</w:t>
      </w:r>
    </w:p>
    <w:p w14:paraId="7C0B03AA" w14:textId="77777777" w:rsidR="00EF00EA" w:rsidRDefault="003D0635">
      <w:pPr>
        <w:spacing w:line="560" w:lineRule="exact"/>
      </w:pPr>
      <w:r>
        <w:rPr>
          <w:rFonts w:ascii="楷体" w:eastAsia="楷体" w:hAnsi="楷体" w:cs="楷体"/>
          <w:b/>
          <w:color w:val="000000"/>
          <w:sz w:val="30"/>
        </w:rPr>
        <w:t>七、《一般公共预算“三公”经费支出情况表》</w:t>
      </w:r>
    </w:p>
    <w:p w14:paraId="4D98826C" w14:textId="77777777" w:rsidR="00EF00EA" w:rsidRDefault="003D0635">
      <w:pPr>
        <w:spacing w:line="560" w:lineRule="exact"/>
      </w:pPr>
      <w:r>
        <w:rPr>
          <w:rFonts w:ascii="楷体" w:eastAsia="楷体" w:hAnsi="楷体" w:cs="楷体"/>
          <w:b/>
          <w:color w:val="000000"/>
          <w:sz w:val="30"/>
        </w:rPr>
        <w:t>八、《政府性基金预算支出情况表》</w:t>
      </w:r>
    </w:p>
    <w:p w14:paraId="6ED05833" w14:textId="77777777" w:rsidR="00EF00EA" w:rsidRDefault="003D0635">
      <w:pPr>
        <w:spacing w:line="560" w:lineRule="exact"/>
      </w:pPr>
      <w:r>
        <w:rPr>
          <w:rFonts w:ascii="楷体" w:eastAsia="楷体" w:hAnsi="楷体" w:cs="楷体"/>
          <w:b/>
          <w:color w:val="000000"/>
          <w:sz w:val="30"/>
        </w:rPr>
        <w:t>九、《国有资本经营预算支出情况表》</w:t>
      </w:r>
    </w:p>
    <w:p w14:paraId="49D49D1B" w14:textId="77777777" w:rsidR="00EF00EA" w:rsidRDefault="003D0635">
      <w:pPr>
        <w:spacing w:line="560" w:lineRule="exact"/>
      </w:pPr>
      <w:r>
        <w:rPr>
          <w:rFonts w:ascii="楷体" w:eastAsia="楷体" w:hAnsi="楷体" w:cs="楷体"/>
          <w:b/>
          <w:color w:val="000000"/>
          <w:sz w:val="30"/>
        </w:rPr>
        <w:t>十、《项目支出表》</w:t>
      </w:r>
    </w:p>
    <w:p w14:paraId="7C9BE2F5" w14:textId="77777777" w:rsidR="00EF00EA" w:rsidRDefault="003D0635">
      <w:pPr>
        <w:spacing w:line="560" w:lineRule="exact"/>
      </w:pPr>
      <w:r>
        <w:rPr>
          <w:rFonts w:ascii="楷体" w:eastAsia="楷体" w:hAnsi="楷体" w:cs="楷体"/>
          <w:b/>
          <w:color w:val="000000"/>
          <w:sz w:val="30"/>
        </w:rPr>
        <w:t>十一、关于空表说明</w:t>
      </w:r>
    </w:p>
    <w:p w14:paraId="035EBC28" w14:textId="77777777" w:rsidR="00EF00EA" w:rsidRDefault="003D0635">
      <w:pPr>
        <w:pageBreakBefore/>
        <w:spacing w:line="560" w:lineRule="exact"/>
      </w:pPr>
      <w:r>
        <w:rPr>
          <w:rFonts w:ascii="仿宋" w:eastAsia="仿宋" w:hAnsi="仿宋" w:cs="仿宋"/>
          <w:b/>
          <w:color w:val="000000"/>
          <w:sz w:val="30"/>
        </w:rPr>
        <w:lastRenderedPageBreak/>
        <w:t>十一、关于空表的说明</w:t>
      </w:r>
    </w:p>
    <w:p w14:paraId="6464F46A" w14:textId="77777777" w:rsidR="00EF00EA" w:rsidRDefault="003D0635">
      <w:pPr>
        <w:spacing w:line="560" w:lineRule="exact"/>
        <w:ind w:firstLine="600"/>
      </w:pPr>
      <w:r>
        <w:rPr>
          <w:rFonts w:ascii="仿宋" w:eastAsia="仿宋" w:hAnsi="仿宋" w:cs="仿宋"/>
          <w:color w:val="000000"/>
          <w:sz w:val="30"/>
        </w:rPr>
        <w:t>本部门2025年一般公共预算“三公”经费支出情况表为空表</w:t>
      </w:r>
    </w:p>
    <w:p w14:paraId="100174F5" w14:textId="77777777" w:rsidR="00EF00EA" w:rsidRDefault="003D0635">
      <w:pPr>
        <w:spacing w:line="560" w:lineRule="exact"/>
        <w:ind w:firstLine="600"/>
      </w:pPr>
      <w:r>
        <w:rPr>
          <w:rFonts w:ascii="仿宋" w:eastAsia="仿宋" w:hAnsi="仿宋" w:cs="仿宋"/>
          <w:color w:val="000000"/>
          <w:sz w:val="30"/>
        </w:rPr>
        <w:t>本部门2025年政府性基金预算支出情况表为空表</w:t>
      </w:r>
    </w:p>
    <w:p w14:paraId="22F08471" w14:textId="77777777" w:rsidR="00EF00EA" w:rsidRDefault="003D0635">
      <w:pPr>
        <w:spacing w:line="560" w:lineRule="exact"/>
        <w:ind w:firstLine="600"/>
      </w:pPr>
      <w:r>
        <w:rPr>
          <w:rFonts w:ascii="仿宋" w:eastAsia="仿宋" w:hAnsi="仿宋" w:cs="仿宋"/>
          <w:color w:val="000000"/>
          <w:sz w:val="30"/>
        </w:rPr>
        <w:t>本部门2025年国有资本经营预算支出情况表为空表</w:t>
      </w:r>
    </w:p>
    <w:sectPr w:rsidR="00EF00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7589" w14:textId="77777777" w:rsidR="00087F06" w:rsidRDefault="00087F06" w:rsidP="00087F06">
      <w:r>
        <w:separator/>
      </w:r>
    </w:p>
  </w:endnote>
  <w:endnote w:type="continuationSeparator" w:id="0">
    <w:p w14:paraId="46544C3B" w14:textId="77777777" w:rsidR="00087F06" w:rsidRDefault="00087F06" w:rsidP="0008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ZXiaoBiaoSong-B05S">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CD19" w14:textId="77777777" w:rsidR="00087F06" w:rsidRDefault="00087F06" w:rsidP="00087F06">
      <w:r>
        <w:separator/>
      </w:r>
    </w:p>
  </w:footnote>
  <w:footnote w:type="continuationSeparator" w:id="0">
    <w:p w14:paraId="0CBB7050" w14:textId="77777777" w:rsidR="00087F06" w:rsidRDefault="00087F06" w:rsidP="00087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F00EA"/>
    <w:rsid w:val="00087F06"/>
    <w:rsid w:val="001D4C44"/>
    <w:rsid w:val="00306079"/>
    <w:rsid w:val="003D0635"/>
    <w:rsid w:val="00A27775"/>
    <w:rsid w:val="00C703F6"/>
    <w:rsid w:val="00EF0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933A5"/>
  <w15:docId w15:val="{EDF12D8B-55DC-40DC-A95A-122A5427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87F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87F06"/>
    <w:rPr>
      <w:sz w:val="18"/>
      <w:szCs w:val="18"/>
    </w:rPr>
  </w:style>
  <w:style w:type="paragraph" w:styleId="a5">
    <w:name w:val="footer"/>
    <w:basedOn w:val="a"/>
    <w:link w:val="a6"/>
    <w:uiPriority w:val="99"/>
    <w:semiHidden/>
    <w:unhideWhenUsed/>
    <w:rsid w:val="00087F0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87F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773</Words>
  <Characters>4409</Characters>
  <Application>Microsoft Office Word</Application>
  <DocSecurity>0</DocSecurity>
  <Lines>36</Lines>
  <Paragraphs>10</Paragraphs>
  <ScaleCrop>false</ScaleCrop>
  <Company>user</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2025-03-19T05:23:00Z</dcterms:created>
  <dcterms:modified xsi:type="dcterms:W3CDTF">2025-03-19T10:38:00Z</dcterms:modified>
</cp:coreProperties>
</file>