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08F08" w14:textId="77777777" w:rsidR="004F0648" w:rsidRDefault="00AD0F44">
      <w:pPr>
        <w:spacing w:line="2600" w:lineRule="exact"/>
        <w:jc w:val="center"/>
      </w:pPr>
      <w:r>
        <w:rPr>
          <w:rFonts w:ascii="FZXiaoBiaoSong-B05S" w:eastAsia="FZXiaoBiaoSong-B05S" w:hAnsi="FZXiaoBiaoSong-B05S" w:cs="FZXiaoBiaoSong-B05S"/>
          <w:b/>
          <w:color w:val="000000"/>
          <w:sz w:val="48"/>
        </w:rPr>
        <w:t>天津市西青区城市管理综合行政执法支队</w:t>
      </w:r>
      <w:r>
        <w:rPr>
          <w:rFonts w:ascii="FZXiaoBiaoSong-B05S" w:eastAsia="FZXiaoBiaoSong-B05S" w:hAnsi="FZXiaoBiaoSong-B05S" w:cs="FZXiaoBiaoSong-B05S"/>
          <w:b/>
          <w:color w:val="000000"/>
          <w:sz w:val="48"/>
        </w:rPr>
        <w:br/>
        <w:t>2025年度单位预算公开</w:t>
      </w:r>
    </w:p>
    <w:p w14:paraId="7BEC110D" w14:textId="77777777" w:rsidR="004F0648" w:rsidRDefault="00AD0F44">
      <w:pPr>
        <w:pageBreakBefore/>
        <w:spacing w:line="560" w:lineRule="exact"/>
        <w:jc w:val="center"/>
      </w:pPr>
      <w:r>
        <w:rPr>
          <w:rFonts w:ascii="黑体" w:eastAsia="黑体" w:hAnsi="黑体" w:cs="黑体"/>
          <w:b/>
          <w:color w:val="000000"/>
          <w:sz w:val="44"/>
        </w:rPr>
        <w:lastRenderedPageBreak/>
        <w:t>目    录</w:t>
      </w:r>
    </w:p>
    <w:p w14:paraId="2A571630" w14:textId="77777777" w:rsidR="004F0648" w:rsidRDefault="00AD0F44">
      <w:pPr>
        <w:spacing w:line="560" w:lineRule="exact"/>
        <w:ind w:firstLine="900"/>
      </w:pPr>
      <w:r>
        <w:rPr>
          <w:rFonts w:ascii="仿宋" w:eastAsia="仿宋" w:hAnsi="仿宋" w:cs="仿宋"/>
          <w:b/>
          <w:color w:val="000000"/>
          <w:sz w:val="30"/>
        </w:rPr>
        <w:t>第一部分  概况</w:t>
      </w:r>
    </w:p>
    <w:p w14:paraId="69FAE9A8" w14:textId="77777777" w:rsidR="004F0648" w:rsidRDefault="00AD0F44">
      <w:pPr>
        <w:spacing w:line="560" w:lineRule="exact"/>
        <w:ind w:firstLine="900"/>
      </w:pPr>
      <w:r>
        <w:rPr>
          <w:rFonts w:ascii="仿宋" w:eastAsia="仿宋" w:hAnsi="仿宋" w:cs="仿宋"/>
          <w:color w:val="000000"/>
          <w:sz w:val="30"/>
        </w:rPr>
        <w:t>一、主要职责</w:t>
      </w:r>
    </w:p>
    <w:p w14:paraId="59E2B10A" w14:textId="77777777" w:rsidR="004F0648" w:rsidRDefault="00AD0F44">
      <w:pPr>
        <w:spacing w:line="560" w:lineRule="exact"/>
        <w:ind w:firstLine="900"/>
      </w:pPr>
      <w:r>
        <w:rPr>
          <w:rFonts w:ascii="仿宋" w:eastAsia="仿宋" w:hAnsi="仿宋" w:cs="仿宋"/>
          <w:color w:val="000000"/>
          <w:sz w:val="30"/>
        </w:rPr>
        <w:t>二、机构设置情况</w:t>
      </w:r>
    </w:p>
    <w:p w14:paraId="68AEB2C2" w14:textId="77777777" w:rsidR="004F0648" w:rsidRDefault="00AD0F44">
      <w:pPr>
        <w:spacing w:line="560" w:lineRule="exact"/>
        <w:ind w:firstLine="900"/>
      </w:pPr>
      <w:r>
        <w:rPr>
          <w:rFonts w:ascii="仿宋" w:eastAsia="仿宋" w:hAnsi="仿宋" w:cs="仿宋"/>
          <w:b/>
          <w:color w:val="000000"/>
          <w:sz w:val="30"/>
        </w:rPr>
        <w:t>第二部分  2025年单位情况说明</w:t>
      </w:r>
    </w:p>
    <w:p w14:paraId="110CAC6C" w14:textId="77777777" w:rsidR="004F0648" w:rsidRDefault="00AD0F44">
      <w:pPr>
        <w:spacing w:line="560" w:lineRule="exact"/>
        <w:ind w:firstLine="900"/>
      </w:pPr>
      <w:r>
        <w:rPr>
          <w:rFonts w:ascii="仿宋" w:eastAsia="仿宋" w:hAnsi="仿宋" w:cs="仿宋"/>
          <w:color w:val="000000"/>
          <w:sz w:val="30"/>
        </w:rPr>
        <w:t>一、关于收支总体情况表的说明</w:t>
      </w:r>
    </w:p>
    <w:p w14:paraId="2E3F6CF3" w14:textId="77777777" w:rsidR="004F0648" w:rsidRDefault="00AD0F44">
      <w:pPr>
        <w:spacing w:line="560" w:lineRule="exact"/>
        <w:ind w:firstLine="900"/>
      </w:pPr>
      <w:r>
        <w:rPr>
          <w:rFonts w:ascii="仿宋" w:eastAsia="仿宋" w:hAnsi="仿宋" w:cs="仿宋"/>
          <w:color w:val="000000"/>
          <w:sz w:val="30"/>
        </w:rPr>
        <w:t>二、关于收入总体情况表的说明</w:t>
      </w:r>
    </w:p>
    <w:p w14:paraId="52436537" w14:textId="77777777" w:rsidR="004F0648" w:rsidRDefault="00AD0F44">
      <w:pPr>
        <w:spacing w:line="560" w:lineRule="exact"/>
        <w:ind w:firstLine="900"/>
      </w:pPr>
      <w:r>
        <w:rPr>
          <w:rFonts w:ascii="仿宋" w:eastAsia="仿宋" w:hAnsi="仿宋" w:cs="仿宋"/>
          <w:color w:val="000000"/>
          <w:sz w:val="30"/>
        </w:rPr>
        <w:t>三、关于支出总体情况表的说明</w:t>
      </w:r>
    </w:p>
    <w:p w14:paraId="7E8EDEFF" w14:textId="77777777" w:rsidR="004F0648" w:rsidRDefault="00AD0F44">
      <w:pPr>
        <w:spacing w:line="560" w:lineRule="exact"/>
        <w:ind w:firstLine="900"/>
      </w:pPr>
      <w:r>
        <w:rPr>
          <w:rFonts w:ascii="仿宋" w:eastAsia="仿宋" w:hAnsi="仿宋" w:cs="仿宋"/>
          <w:color w:val="000000"/>
          <w:sz w:val="30"/>
        </w:rPr>
        <w:t>四、关于财政拨款收支总体情况表的说明</w:t>
      </w:r>
    </w:p>
    <w:p w14:paraId="4A0DCBAE" w14:textId="77777777" w:rsidR="004F0648" w:rsidRDefault="00AD0F44">
      <w:pPr>
        <w:spacing w:line="560" w:lineRule="exact"/>
        <w:ind w:firstLine="900"/>
      </w:pPr>
      <w:r>
        <w:rPr>
          <w:rFonts w:ascii="仿宋" w:eastAsia="仿宋" w:hAnsi="仿宋" w:cs="仿宋"/>
          <w:color w:val="000000"/>
          <w:sz w:val="30"/>
        </w:rPr>
        <w:t>五、关于一般公共预算支出情况表的说明</w:t>
      </w:r>
    </w:p>
    <w:p w14:paraId="0E4BB38C" w14:textId="77777777" w:rsidR="004F0648" w:rsidRDefault="00AD0F44">
      <w:pPr>
        <w:spacing w:line="560" w:lineRule="exact"/>
        <w:ind w:firstLine="900"/>
      </w:pPr>
      <w:r>
        <w:rPr>
          <w:rFonts w:ascii="仿宋" w:eastAsia="仿宋" w:hAnsi="仿宋" w:cs="仿宋"/>
          <w:color w:val="000000"/>
          <w:sz w:val="30"/>
        </w:rPr>
        <w:t>六、关于一般公共预算基本支出情况表的说明</w:t>
      </w:r>
    </w:p>
    <w:p w14:paraId="0933B377" w14:textId="77777777" w:rsidR="004F0648" w:rsidRDefault="00AD0F44">
      <w:pPr>
        <w:spacing w:line="560" w:lineRule="exact"/>
        <w:ind w:firstLine="900"/>
      </w:pPr>
      <w:r>
        <w:rPr>
          <w:rFonts w:ascii="仿宋" w:eastAsia="仿宋" w:hAnsi="仿宋" w:cs="仿宋"/>
          <w:color w:val="000000"/>
          <w:sz w:val="30"/>
        </w:rPr>
        <w:t>七、关于一般公共预算“三公”经费支出情况表的说明</w:t>
      </w:r>
    </w:p>
    <w:p w14:paraId="1F789926" w14:textId="77777777" w:rsidR="004F0648" w:rsidRDefault="00AD0F44">
      <w:pPr>
        <w:spacing w:line="560" w:lineRule="exact"/>
        <w:ind w:firstLine="900"/>
      </w:pPr>
      <w:r>
        <w:rPr>
          <w:rFonts w:ascii="仿宋" w:eastAsia="仿宋" w:hAnsi="仿宋" w:cs="仿宋"/>
          <w:color w:val="000000"/>
          <w:sz w:val="30"/>
        </w:rPr>
        <w:t>八、关于政府性基金预算支出情况表的说明</w:t>
      </w:r>
    </w:p>
    <w:p w14:paraId="70981421" w14:textId="77777777" w:rsidR="004F0648" w:rsidRDefault="00AD0F44">
      <w:pPr>
        <w:spacing w:line="560" w:lineRule="exact"/>
        <w:ind w:firstLine="900"/>
      </w:pPr>
      <w:r>
        <w:rPr>
          <w:rFonts w:ascii="仿宋" w:eastAsia="仿宋" w:hAnsi="仿宋" w:cs="仿宋"/>
          <w:color w:val="000000"/>
          <w:sz w:val="30"/>
        </w:rPr>
        <w:t>九、关于国有资本经营预算支出情况表的说明</w:t>
      </w:r>
    </w:p>
    <w:p w14:paraId="15492137" w14:textId="77777777" w:rsidR="004F0648" w:rsidRDefault="00AD0F44">
      <w:pPr>
        <w:spacing w:line="560" w:lineRule="exact"/>
        <w:ind w:firstLine="900"/>
      </w:pPr>
      <w:r>
        <w:rPr>
          <w:rFonts w:ascii="仿宋" w:eastAsia="仿宋" w:hAnsi="仿宋" w:cs="仿宋"/>
          <w:color w:val="000000"/>
          <w:sz w:val="30"/>
        </w:rPr>
        <w:t>十、其他重要事项的情况说明</w:t>
      </w:r>
    </w:p>
    <w:p w14:paraId="318BEBC3" w14:textId="77777777" w:rsidR="004F0648" w:rsidRDefault="00AD0F44">
      <w:pPr>
        <w:spacing w:line="560" w:lineRule="exact"/>
        <w:ind w:firstLine="900"/>
      </w:pPr>
      <w:r>
        <w:rPr>
          <w:rFonts w:ascii="仿宋" w:eastAsia="仿宋" w:hAnsi="仿宋" w:cs="仿宋"/>
          <w:b/>
          <w:color w:val="000000"/>
          <w:sz w:val="30"/>
        </w:rPr>
        <w:t>第三部分  名词解释</w:t>
      </w:r>
    </w:p>
    <w:p w14:paraId="5FE054D4" w14:textId="77777777" w:rsidR="004F0648" w:rsidRDefault="00AD0F44">
      <w:pPr>
        <w:spacing w:line="560" w:lineRule="exact"/>
        <w:ind w:firstLine="900"/>
      </w:pPr>
      <w:r>
        <w:rPr>
          <w:rFonts w:ascii="仿宋" w:eastAsia="仿宋" w:hAnsi="仿宋" w:cs="仿宋"/>
          <w:b/>
          <w:color w:val="000000"/>
          <w:sz w:val="30"/>
        </w:rPr>
        <w:t>第四部分  2025年单位预算表</w:t>
      </w:r>
    </w:p>
    <w:p w14:paraId="3C2343AC" w14:textId="77777777" w:rsidR="004F0648" w:rsidRDefault="00AD0F44">
      <w:pPr>
        <w:spacing w:line="560" w:lineRule="exact"/>
        <w:ind w:firstLine="900"/>
      </w:pPr>
      <w:r>
        <w:rPr>
          <w:rFonts w:ascii="仿宋" w:eastAsia="仿宋" w:hAnsi="仿宋" w:cs="仿宋"/>
          <w:color w:val="000000"/>
          <w:sz w:val="30"/>
        </w:rPr>
        <w:t>一、部门收支总体情况表</w:t>
      </w:r>
    </w:p>
    <w:p w14:paraId="2FE80496" w14:textId="77777777" w:rsidR="004F0648" w:rsidRDefault="00AD0F44">
      <w:pPr>
        <w:spacing w:line="560" w:lineRule="exact"/>
        <w:ind w:firstLine="900"/>
      </w:pPr>
      <w:r>
        <w:rPr>
          <w:rFonts w:ascii="仿宋" w:eastAsia="仿宋" w:hAnsi="仿宋" w:cs="仿宋"/>
          <w:color w:val="000000"/>
          <w:sz w:val="30"/>
        </w:rPr>
        <w:t>二、部门收入总体情况表</w:t>
      </w:r>
    </w:p>
    <w:p w14:paraId="7304C5EE" w14:textId="77777777" w:rsidR="004F0648" w:rsidRDefault="00AD0F44">
      <w:pPr>
        <w:spacing w:line="560" w:lineRule="exact"/>
        <w:ind w:firstLine="900"/>
      </w:pPr>
      <w:r>
        <w:rPr>
          <w:rFonts w:ascii="仿宋" w:eastAsia="仿宋" w:hAnsi="仿宋" w:cs="仿宋"/>
          <w:color w:val="000000"/>
          <w:sz w:val="30"/>
        </w:rPr>
        <w:t>三、部门支出总体情况表</w:t>
      </w:r>
    </w:p>
    <w:p w14:paraId="192A3AB1" w14:textId="77777777" w:rsidR="004F0648" w:rsidRDefault="00AD0F44">
      <w:pPr>
        <w:spacing w:line="560" w:lineRule="exact"/>
        <w:ind w:firstLine="900"/>
      </w:pPr>
      <w:r>
        <w:rPr>
          <w:rFonts w:ascii="仿宋" w:eastAsia="仿宋" w:hAnsi="仿宋" w:cs="仿宋"/>
          <w:color w:val="000000"/>
          <w:sz w:val="30"/>
        </w:rPr>
        <w:t>四、财政拨款收支总体情况表</w:t>
      </w:r>
    </w:p>
    <w:p w14:paraId="041A5C44" w14:textId="77777777" w:rsidR="004F0648" w:rsidRDefault="00AD0F44">
      <w:pPr>
        <w:spacing w:line="560" w:lineRule="exact"/>
        <w:ind w:firstLine="900"/>
      </w:pPr>
      <w:r>
        <w:rPr>
          <w:rFonts w:ascii="仿宋" w:eastAsia="仿宋" w:hAnsi="仿宋" w:cs="仿宋"/>
          <w:color w:val="000000"/>
          <w:sz w:val="30"/>
        </w:rPr>
        <w:t>五、一般公共预算支出情况表</w:t>
      </w:r>
    </w:p>
    <w:p w14:paraId="02524684" w14:textId="77777777" w:rsidR="004F0648" w:rsidRDefault="00AD0F44">
      <w:pPr>
        <w:spacing w:line="560" w:lineRule="exact"/>
        <w:ind w:firstLine="900"/>
      </w:pPr>
      <w:r>
        <w:rPr>
          <w:rFonts w:ascii="仿宋" w:eastAsia="仿宋" w:hAnsi="仿宋" w:cs="仿宋"/>
          <w:color w:val="000000"/>
          <w:sz w:val="30"/>
        </w:rPr>
        <w:t>六、一般公共预算基本支出情况表</w:t>
      </w:r>
    </w:p>
    <w:p w14:paraId="2967F711" w14:textId="77777777" w:rsidR="004F0648" w:rsidRDefault="00AD0F44">
      <w:pPr>
        <w:spacing w:line="560" w:lineRule="exact"/>
        <w:ind w:firstLine="900"/>
      </w:pPr>
      <w:r>
        <w:rPr>
          <w:rFonts w:ascii="仿宋" w:eastAsia="仿宋" w:hAnsi="仿宋" w:cs="仿宋"/>
          <w:color w:val="000000"/>
          <w:sz w:val="30"/>
        </w:rPr>
        <w:t>七、一般公共预算“三公”经费支出情况表</w:t>
      </w:r>
    </w:p>
    <w:p w14:paraId="147E1B1A" w14:textId="77777777" w:rsidR="004F0648" w:rsidRDefault="00AD0F44">
      <w:pPr>
        <w:spacing w:line="560" w:lineRule="exact"/>
        <w:ind w:firstLine="900"/>
      </w:pPr>
      <w:r>
        <w:rPr>
          <w:rFonts w:ascii="仿宋" w:eastAsia="仿宋" w:hAnsi="仿宋" w:cs="仿宋"/>
          <w:color w:val="000000"/>
          <w:sz w:val="30"/>
        </w:rPr>
        <w:lastRenderedPageBreak/>
        <w:t>八、政府性基金预算支出情况表</w:t>
      </w:r>
    </w:p>
    <w:p w14:paraId="44E26958" w14:textId="77777777" w:rsidR="004F0648" w:rsidRDefault="00AD0F44">
      <w:pPr>
        <w:spacing w:line="560" w:lineRule="exact"/>
        <w:ind w:firstLine="900"/>
      </w:pPr>
      <w:r>
        <w:rPr>
          <w:rFonts w:ascii="仿宋" w:eastAsia="仿宋" w:hAnsi="仿宋" w:cs="仿宋"/>
          <w:color w:val="000000"/>
          <w:sz w:val="30"/>
        </w:rPr>
        <w:t>九、国有资本经营预算支出情况表</w:t>
      </w:r>
    </w:p>
    <w:p w14:paraId="3CF037F3" w14:textId="77777777" w:rsidR="004F0648" w:rsidRDefault="00AD0F44">
      <w:pPr>
        <w:spacing w:line="560" w:lineRule="exact"/>
        <w:ind w:firstLine="900"/>
      </w:pPr>
      <w:r>
        <w:rPr>
          <w:rFonts w:ascii="仿宋" w:eastAsia="仿宋" w:hAnsi="仿宋" w:cs="仿宋"/>
          <w:color w:val="000000"/>
          <w:sz w:val="30"/>
        </w:rPr>
        <w:t>十、项目支出表</w:t>
      </w:r>
    </w:p>
    <w:p w14:paraId="669F3D17" w14:textId="77777777" w:rsidR="004F0648" w:rsidRDefault="00AD0F44">
      <w:pPr>
        <w:spacing w:line="560" w:lineRule="exact"/>
        <w:ind w:firstLine="900"/>
      </w:pPr>
      <w:r>
        <w:rPr>
          <w:rFonts w:ascii="仿宋" w:eastAsia="仿宋" w:hAnsi="仿宋" w:cs="仿宋"/>
          <w:color w:val="000000"/>
          <w:sz w:val="30"/>
        </w:rPr>
        <w:t>十一、关于空表的说明</w:t>
      </w:r>
    </w:p>
    <w:p w14:paraId="05F79711" w14:textId="77777777" w:rsidR="004F0648" w:rsidRDefault="00AD0F44">
      <w:pPr>
        <w:pageBreakBefore/>
        <w:spacing w:line="560" w:lineRule="exact"/>
        <w:jc w:val="center"/>
      </w:pPr>
      <w:r>
        <w:rPr>
          <w:rFonts w:ascii="FZXiaoBiaoSong-B05S" w:eastAsia="FZXiaoBiaoSong-B05S" w:hAnsi="FZXiaoBiaoSong-B05S" w:cs="FZXiaoBiaoSong-B05S"/>
          <w:b/>
          <w:color w:val="000000"/>
          <w:sz w:val="48"/>
        </w:rPr>
        <w:lastRenderedPageBreak/>
        <w:t>第一部分 概况</w:t>
      </w:r>
    </w:p>
    <w:p w14:paraId="066B1662" w14:textId="77777777" w:rsidR="004F0648" w:rsidRDefault="00AD0F44">
      <w:pPr>
        <w:spacing w:line="560" w:lineRule="exact"/>
        <w:ind w:firstLine="600"/>
      </w:pPr>
      <w:r>
        <w:rPr>
          <w:rFonts w:ascii="黑体" w:eastAsia="黑体" w:hAnsi="黑体" w:cs="黑体"/>
          <w:b/>
          <w:color w:val="353232"/>
          <w:sz w:val="30"/>
        </w:rPr>
        <w:t>一、主要职责</w:t>
      </w:r>
    </w:p>
    <w:p w14:paraId="554671B6" w14:textId="77777777" w:rsidR="00594858" w:rsidRDefault="00AD0F44">
      <w:pPr>
        <w:spacing w:line="560" w:lineRule="exact"/>
        <w:ind w:firstLine="600"/>
        <w:rPr>
          <w:rFonts w:ascii="仿宋" w:eastAsia="仿宋" w:hAnsi="仿宋" w:cs="仿宋"/>
          <w:color w:val="000000"/>
          <w:sz w:val="30"/>
        </w:rPr>
      </w:pPr>
      <w:r>
        <w:rPr>
          <w:rFonts w:ascii="仿宋" w:eastAsia="仿宋" w:hAnsi="仿宋" w:cs="仿宋"/>
          <w:color w:val="000000"/>
          <w:sz w:val="30"/>
        </w:rPr>
        <w:t xml:space="preserve">（一）贯彻实施国家和本市关于城市管理综合行政执法的方针政策、法律法规、规章、规范性文件。  </w:t>
      </w:r>
    </w:p>
    <w:p w14:paraId="0A85313B" w14:textId="77777777" w:rsidR="00594858" w:rsidRDefault="00AD0F44">
      <w:pPr>
        <w:spacing w:line="560" w:lineRule="exact"/>
        <w:ind w:firstLine="600"/>
        <w:rPr>
          <w:rFonts w:ascii="仿宋" w:eastAsia="仿宋" w:hAnsi="仿宋" w:cs="仿宋"/>
          <w:color w:val="000000"/>
          <w:sz w:val="30"/>
        </w:rPr>
      </w:pPr>
      <w:r>
        <w:rPr>
          <w:rFonts w:ascii="仿宋" w:eastAsia="仿宋" w:hAnsi="仿宋" w:cs="仿宋"/>
          <w:color w:val="000000"/>
          <w:sz w:val="30"/>
        </w:rPr>
        <w:t xml:space="preserve">（二）负责法律法规明确区级承担的有关行政处罚及与之相关的行政检查、行政强制。组织开展城市管理领域全区性统一执法专项活动。  </w:t>
      </w:r>
    </w:p>
    <w:p w14:paraId="32BE5D4E" w14:textId="77777777" w:rsidR="00594858" w:rsidRDefault="00AD0F44">
      <w:pPr>
        <w:spacing w:line="560" w:lineRule="exact"/>
        <w:ind w:firstLine="600"/>
        <w:rPr>
          <w:rFonts w:ascii="仿宋" w:eastAsia="仿宋" w:hAnsi="仿宋" w:cs="仿宋"/>
          <w:color w:val="000000"/>
          <w:sz w:val="30"/>
        </w:rPr>
      </w:pPr>
      <w:r>
        <w:rPr>
          <w:rFonts w:ascii="仿宋" w:eastAsia="仿宋" w:hAnsi="仿宋" w:cs="仿宋"/>
          <w:color w:val="000000"/>
          <w:sz w:val="30"/>
        </w:rPr>
        <w:t xml:space="preserve">（三）负责区管城市道路、桥梁、地（隧）道等方面违法行为的行政执法。  </w:t>
      </w:r>
    </w:p>
    <w:p w14:paraId="4C0E4E01" w14:textId="77777777" w:rsidR="00594858" w:rsidRDefault="00AD0F44">
      <w:pPr>
        <w:spacing w:line="560" w:lineRule="exact"/>
        <w:ind w:firstLine="600"/>
        <w:rPr>
          <w:rFonts w:ascii="仿宋" w:eastAsia="仿宋" w:hAnsi="仿宋" w:cs="仿宋"/>
          <w:color w:val="000000"/>
          <w:sz w:val="30"/>
        </w:rPr>
      </w:pPr>
      <w:r>
        <w:rPr>
          <w:rFonts w:ascii="仿宋" w:eastAsia="仿宋" w:hAnsi="仿宋" w:cs="仿宋"/>
          <w:color w:val="000000"/>
          <w:sz w:val="30"/>
        </w:rPr>
        <w:t xml:space="preserve">（四）负责对区级审批燃气企业以及辖区内单位和个人违法行为的行政执法。具体实施按照市政府燃气管理体制改革有关规定执行。  </w:t>
      </w:r>
    </w:p>
    <w:p w14:paraId="7F12A5D5" w14:textId="77777777" w:rsidR="00CE37D9" w:rsidRDefault="00AD0F44">
      <w:pPr>
        <w:spacing w:line="560" w:lineRule="exact"/>
        <w:ind w:firstLine="600"/>
        <w:rPr>
          <w:rFonts w:ascii="仿宋" w:eastAsia="仿宋" w:hAnsi="仿宋" w:cs="仿宋"/>
          <w:color w:val="000000"/>
          <w:sz w:val="30"/>
        </w:rPr>
      </w:pPr>
      <w:r>
        <w:rPr>
          <w:rFonts w:ascii="仿宋" w:eastAsia="仿宋" w:hAnsi="仿宋" w:cs="仿宋"/>
          <w:color w:val="000000"/>
          <w:sz w:val="30"/>
        </w:rPr>
        <w:t>（五）负责对辖区内供热单位、供热用户违法行为以及单位和个人危害共用供热设施安全违法行为的行政执法。</w:t>
      </w:r>
      <w:r>
        <w:rPr>
          <w:rFonts w:ascii="仿宋" w:eastAsia="仿宋" w:hAnsi="仿宋" w:cs="仿宋"/>
          <w:color w:val="000000"/>
          <w:sz w:val="30"/>
        </w:rPr>
        <w:br/>
        <w:t xml:space="preserve">  </w:t>
      </w:r>
      <w:r w:rsidR="00594858">
        <w:rPr>
          <w:rFonts w:ascii="仿宋" w:eastAsia="仿宋" w:hAnsi="仿宋" w:cs="仿宋" w:hint="eastAsia"/>
          <w:color w:val="000000"/>
          <w:sz w:val="30"/>
        </w:rPr>
        <w:t xml:space="preserve">  </w:t>
      </w:r>
      <w:r>
        <w:rPr>
          <w:rFonts w:ascii="仿宋" w:eastAsia="仿宋" w:hAnsi="仿宋" w:cs="仿宋"/>
          <w:color w:val="000000"/>
          <w:sz w:val="30"/>
        </w:rPr>
        <w:t>（六）负责指导全区园林绿化、市容市貌、环境卫生等方面的城市管理综合行政执法工作，负责组织城市管理领域重大复杂案件查处和跨街镇城市管理综合行政执法工作。</w:t>
      </w:r>
      <w:r>
        <w:rPr>
          <w:rFonts w:ascii="仿宋" w:eastAsia="仿宋" w:hAnsi="仿宋" w:cs="仿宋"/>
          <w:color w:val="000000"/>
          <w:sz w:val="30"/>
        </w:rPr>
        <w:br/>
        <w:t xml:space="preserve">  </w:t>
      </w:r>
      <w:r w:rsidR="00594858">
        <w:rPr>
          <w:rFonts w:ascii="仿宋" w:eastAsia="仿宋" w:hAnsi="仿宋" w:cs="仿宋" w:hint="eastAsia"/>
          <w:color w:val="000000"/>
          <w:sz w:val="30"/>
        </w:rPr>
        <w:t xml:space="preserve">  </w:t>
      </w:r>
      <w:r>
        <w:rPr>
          <w:rFonts w:ascii="仿宋" w:eastAsia="仿宋" w:hAnsi="仿宋" w:cs="仿宋"/>
          <w:color w:val="000000"/>
          <w:sz w:val="30"/>
        </w:rPr>
        <w:t>（七）负责城市管理综合行政执法支队标准化、规范化建设，负责组织城市管理领域综合行政执法宣传教育和人员培训工作。</w:t>
      </w:r>
    </w:p>
    <w:p w14:paraId="302242B9" w14:textId="77777777" w:rsidR="00CE37D9" w:rsidRDefault="00AD0F44" w:rsidP="00CE37D9">
      <w:pPr>
        <w:spacing w:line="560" w:lineRule="exact"/>
        <w:ind w:firstLineChars="200" w:firstLine="600"/>
        <w:rPr>
          <w:rFonts w:ascii="仿宋" w:eastAsia="仿宋" w:hAnsi="仿宋" w:cs="仿宋"/>
          <w:color w:val="000000"/>
          <w:sz w:val="30"/>
        </w:rPr>
      </w:pPr>
      <w:r>
        <w:rPr>
          <w:rFonts w:ascii="仿宋" w:eastAsia="仿宋" w:hAnsi="仿宋" w:cs="仿宋"/>
          <w:color w:val="000000"/>
          <w:sz w:val="30"/>
        </w:rPr>
        <w:t>（八）提出城市管理领域行政执法信息化的意见。</w:t>
      </w:r>
    </w:p>
    <w:p w14:paraId="3EC09B62" w14:textId="77777777" w:rsidR="00CE37D9" w:rsidRDefault="00AD0F44" w:rsidP="00CE37D9">
      <w:pPr>
        <w:spacing w:line="560" w:lineRule="exact"/>
        <w:ind w:firstLineChars="200" w:firstLine="600"/>
        <w:rPr>
          <w:rFonts w:ascii="仿宋" w:eastAsia="仿宋" w:hAnsi="仿宋" w:cs="仿宋"/>
          <w:color w:val="000000"/>
          <w:sz w:val="30"/>
        </w:rPr>
      </w:pPr>
      <w:r>
        <w:rPr>
          <w:rFonts w:ascii="仿宋" w:eastAsia="仿宋" w:hAnsi="仿宋" w:cs="仿宋"/>
          <w:color w:val="000000"/>
          <w:sz w:val="30"/>
        </w:rPr>
        <w:t>（九）配合上级部门提出区城市管理部门权责清单中有关行政处罚、行政检查、行政强制的具体权责事项。</w:t>
      </w:r>
    </w:p>
    <w:p w14:paraId="5BD35FF1" w14:textId="03880498" w:rsidR="00594858" w:rsidRDefault="00AD0F44" w:rsidP="00CE37D9">
      <w:pPr>
        <w:spacing w:line="560" w:lineRule="exact"/>
        <w:ind w:firstLineChars="200" w:firstLine="600"/>
        <w:rPr>
          <w:rFonts w:ascii="仿宋" w:eastAsia="仿宋" w:hAnsi="仿宋" w:cs="仿宋"/>
          <w:color w:val="000000"/>
          <w:sz w:val="30"/>
        </w:rPr>
      </w:pPr>
      <w:r>
        <w:rPr>
          <w:rFonts w:ascii="仿宋" w:eastAsia="仿宋" w:hAnsi="仿宋" w:cs="仿宋"/>
          <w:color w:val="000000"/>
          <w:sz w:val="30"/>
        </w:rPr>
        <w:t>（十）完成区城市管理委员会交办的其他相关执法工作。</w:t>
      </w:r>
    </w:p>
    <w:p w14:paraId="571489C0" w14:textId="77777777" w:rsidR="004F0648" w:rsidRDefault="00594858" w:rsidP="00594858">
      <w:pPr>
        <w:spacing w:line="560" w:lineRule="exact"/>
      </w:pPr>
      <w:r>
        <w:rPr>
          <w:rFonts w:ascii="仿宋" w:eastAsia="仿宋" w:hAnsi="仿宋" w:cs="仿宋" w:hint="eastAsia"/>
          <w:color w:val="000000"/>
          <w:sz w:val="30"/>
        </w:rPr>
        <w:lastRenderedPageBreak/>
        <w:t xml:space="preserve">   </w:t>
      </w:r>
      <w:r w:rsidR="00AD0F44">
        <w:rPr>
          <w:rFonts w:ascii="仿宋" w:eastAsia="仿宋" w:hAnsi="仿宋" w:cs="仿宋"/>
          <w:color w:val="000000"/>
          <w:sz w:val="30"/>
        </w:rPr>
        <w:t>（十一）有关职责分工已赋予街镇行使的城市管理综合执法方面的行政处罚权，继续由街镇行使，区城市管理综合行政执法支队负责指导街镇城市管理综合行政执法工作，组织城市管理领域重大复杂案件查处和跨街镇城市管理综合行政执法工作。</w:t>
      </w:r>
    </w:p>
    <w:p w14:paraId="49F5657D" w14:textId="77777777" w:rsidR="004F0648" w:rsidRDefault="00AD0F44">
      <w:pPr>
        <w:spacing w:line="560" w:lineRule="exact"/>
        <w:ind w:firstLine="600"/>
      </w:pPr>
      <w:r>
        <w:rPr>
          <w:rFonts w:ascii="黑体" w:eastAsia="黑体" w:hAnsi="黑体" w:cs="黑体"/>
          <w:b/>
          <w:color w:val="000000"/>
          <w:sz w:val="30"/>
        </w:rPr>
        <w:t>二、机构设置情况</w:t>
      </w:r>
    </w:p>
    <w:p w14:paraId="664344F9" w14:textId="77777777" w:rsidR="004F0648" w:rsidRDefault="00AD0F44">
      <w:pPr>
        <w:spacing w:line="560" w:lineRule="exact"/>
        <w:ind w:firstLine="600"/>
      </w:pPr>
      <w:r>
        <w:rPr>
          <w:rFonts w:ascii="仿宋" w:eastAsia="仿宋" w:hAnsi="仿宋" w:cs="仿宋"/>
          <w:color w:val="000000"/>
          <w:sz w:val="30"/>
        </w:rPr>
        <w:t>天津市西青区城市管理综合行政执法支队部门内设5个职能科室；下辖1个预算单位。</w:t>
      </w:r>
    </w:p>
    <w:p w14:paraId="3DB9F91F" w14:textId="77777777" w:rsidR="004F0648" w:rsidRDefault="00AD0F44">
      <w:pPr>
        <w:spacing w:line="560" w:lineRule="exact"/>
        <w:ind w:firstLine="600"/>
      </w:pPr>
      <w:r>
        <w:rPr>
          <w:rFonts w:ascii="仿宋" w:eastAsia="仿宋" w:hAnsi="仿宋" w:cs="仿宋"/>
          <w:color w:val="000000"/>
          <w:sz w:val="30"/>
        </w:rPr>
        <w:t>纳入天津市西青区城市管理综合行政执法支队单位2025年部门预算编制范围的预算单位包括：</w:t>
      </w:r>
    </w:p>
    <w:p w14:paraId="2296ECFC" w14:textId="77777777" w:rsidR="004F0648" w:rsidRDefault="00AD0F44">
      <w:pPr>
        <w:spacing w:line="560" w:lineRule="exact"/>
        <w:ind w:firstLine="600"/>
      </w:pPr>
      <w:r>
        <w:rPr>
          <w:rFonts w:ascii="仿宋" w:eastAsia="仿宋" w:hAnsi="仿宋" w:cs="仿宋"/>
          <w:color w:val="000000"/>
          <w:sz w:val="30"/>
        </w:rPr>
        <w:t>1.天津市西青区城市管理综合行政执法支队</w:t>
      </w:r>
    </w:p>
    <w:p w14:paraId="130E4768" w14:textId="77777777" w:rsidR="004F0648" w:rsidRDefault="00AD0F44">
      <w:pPr>
        <w:pageBreakBefore/>
        <w:spacing w:line="560" w:lineRule="exact"/>
        <w:jc w:val="center"/>
      </w:pPr>
      <w:r>
        <w:rPr>
          <w:rFonts w:ascii="FZXiaoBiaoSong-B05S" w:eastAsia="FZXiaoBiaoSong-B05S" w:hAnsi="FZXiaoBiaoSong-B05S" w:cs="FZXiaoBiaoSong-B05S"/>
          <w:b/>
          <w:color w:val="000000"/>
          <w:sz w:val="48"/>
        </w:rPr>
        <w:lastRenderedPageBreak/>
        <w:t>第二部分  2025年度单位预算情况说明</w:t>
      </w:r>
    </w:p>
    <w:p w14:paraId="25D61BAD" w14:textId="77777777" w:rsidR="004F0648" w:rsidRDefault="00AD0F44">
      <w:pPr>
        <w:spacing w:line="560" w:lineRule="exact"/>
        <w:ind w:firstLine="600"/>
      </w:pPr>
      <w:r>
        <w:rPr>
          <w:rFonts w:ascii="黑体" w:eastAsia="黑体" w:hAnsi="黑体" w:cs="黑体"/>
          <w:b/>
          <w:color w:val="000000"/>
          <w:sz w:val="30"/>
        </w:rPr>
        <w:t>一、关于收支总体情况表的说明</w:t>
      </w:r>
    </w:p>
    <w:p w14:paraId="21F08CD9" w14:textId="77777777" w:rsidR="004F0648" w:rsidRDefault="00AD0F44">
      <w:pPr>
        <w:spacing w:line="560" w:lineRule="exact"/>
        <w:ind w:firstLine="600"/>
      </w:pPr>
      <w:r>
        <w:rPr>
          <w:rFonts w:ascii="仿宋" w:eastAsia="仿宋" w:hAnsi="仿宋" w:cs="仿宋"/>
          <w:color w:val="000000"/>
          <w:sz w:val="30"/>
        </w:rPr>
        <w:t>按照综合预算的原则，天津市西青区城市管理综合行政执法支队单位所有收入和支出均纳入部门预算管理。收入包括：一般公共预算拨款收入986.81万元、政府性基金预算拨款收入0万元、国有资本经营预算拨款收入0万元、财政专户管理资金收入0万元、事业收入0万元、事业单位经营收入0万元、上级补助收入0万元、附属单位上缴收入0万元、其他收入0万元、上年结转结余0万元；支出包括：教育支出0.80万元、社会保障和就业支出107.90万元、城乡社区支出825.18万元、卫生健康支出52.93万元。天津市西青区城市管理综合行政执法支队单位2025年收支总预算986.81万元。</w:t>
      </w:r>
    </w:p>
    <w:p w14:paraId="245821DF" w14:textId="77777777" w:rsidR="004F0648" w:rsidRDefault="00AD0F44">
      <w:pPr>
        <w:spacing w:line="560" w:lineRule="exact"/>
        <w:ind w:firstLine="600"/>
      </w:pPr>
      <w:r>
        <w:rPr>
          <w:rFonts w:ascii="黑体" w:eastAsia="黑体" w:hAnsi="黑体" w:cs="黑体"/>
          <w:b/>
          <w:color w:val="000000"/>
          <w:sz w:val="30"/>
        </w:rPr>
        <w:t>二、关于收入总体情况表的说明</w:t>
      </w:r>
    </w:p>
    <w:p w14:paraId="641834F6" w14:textId="77777777" w:rsidR="004F0648" w:rsidRDefault="00AD0F44">
      <w:pPr>
        <w:spacing w:line="560" w:lineRule="exact"/>
        <w:ind w:firstLine="600"/>
      </w:pPr>
      <w:r>
        <w:rPr>
          <w:rFonts w:ascii="仿宋" w:eastAsia="仿宋" w:hAnsi="仿宋" w:cs="仿宋"/>
          <w:color w:val="000000"/>
          <w:sz w:val="30"/>
        </w:rPr>
        <w:t>天津市西青区城市管理综合行政执法支队单位2025年部门预算收入986.81万元，与上年预算相比增加13.72万元，主要原因是单位人员增加。其中：上年结转结余0万元，占0%；一般公共预算986.81万元，占100.00%；政府性基金预算0万元，占0%；国有资本经营预算0万元，占0%；财政专户管理资金0万元，占0%；事业收入0万元，占0%；事业单位经营收入0万元，占0%；上级补助收入0万元，占0%；附属单位上缴收入0万元，占0%；其他收入0万元，占0%。</w:t>
      </w:r>
    </w:p>
    <w:p w14:paraId="0FB4B01D" w14:textId="77777777" w:rsidR="004F0648" w:rsidRDefault="00AD0F44">
      <w:pPr>
        <w:spacing w:line="560" w:lineRule="exact"/>
        <w:ind w:firstLine="600"/>
      </w:pPr>
      <w:r>
        <w:rPr>
          <w:rFonts w:ascii="黑体" w:eastAsia="黑体" w:hAnsi="黑体" w:cs="黑体"/>
          <w:b/>
          <w:color w:val="000000"/>
          <w:sz w:val="30"/>
        </w:rPr>
        <w:t>三、关于支出总体情况表的说明</w:t>
      </w:r>
    </w:p>
    <w:p w14:paraId="21D50DD9" w14:textId="77777777" w:rsidR="004F0648" w:rsidRDefault="00AD0F44">
      <w:pPr>
        <w:spacing w:line="560" w:lineRule="exact"/>
        <w:ind w:firstLine="600"/>
      </w:pPr>
      <w:r>
        <w:rPr>
          <w:rFonts w:ascii="仿宋" w:eastAsia="仿宋" w:hAnsi="仿宋" w:cs="仿宋"/>
          <w:color w:val="000000"/>
          <w:sz w:val="30"/>
        </w:rPr>
        <w:t>天津市西青区城市管理综合行政执法支队单位2025年支出预算986.81万元，与上年预算相比增加13.72万元，主要原因</w:t>
      </w:r>
      <w:r>
        <w:rPr>
          <w:rFonts w:ascii="仿宋" w:eastAsia="仿宋" w:hAnsi="仿宋" w:cs="仿宋"/>
          <w:color w:val="000000"/>
          <w:sz w:val="30"/>
        </w:rPr>
        <w:lastRenderedPageBreak/>
        <w:t>是单位人员增加。其中：基本支出986.81万元，占100.00%；项目支出0万元，占0%；事业单位经营支出0万元，占0%；上缴上级支出0万元，占0%；对附属单位补助支出0万元，占0%。</w:t>
      </w:r>
    </w:p>
    <w:p w14:paraId="0580F1FC" w14:textId="77777777" w:rsidR="004F0648" w:rsidRDefault="00AD0F44">
      <w:pPr>
        <w:spacing w:line="560" w:lineRule="exact"/>
        <w:ind w:firstLine="600"/>
      </w:pPr>
      <w:r>
        <w:rPr>
          <w:rFonts w:ascii="黑体" w:eastAsia="黑体" w:hAnsi="黑体" w:cs="黑体"/>
          <w:b/>
          <w:color w:val="000000"/>
          <w:sz w:val="30"/>
        </w:rPr>
        <w:t>四、关于财政拨款收支总体情况表的说明</w:t>
      </w:r>
    </w:p>
    <w:p w14:paraId="3ED01435" w14:textId="77777777" w:rsidR="004F0648" w:rsidRDefault="00AD0F44">
      <w:pPr>
        <w:spacing w:line="560" w:lineRule="exact"/>
        <w:ind w:firstLine="600"/>
      </w:pPr>
      <w:r>
        <w:rPr>
          <w:rFonts w:ascii="仿宋" w:eastAsia="仿宋" w:hAnsi="仿宋" w:cs="仿宋"/>
          <w:color w:val="000000"/>
          <w:sz w:val="30"/>
        </w:rPr>
        <w:t>天津市西青区城市管理综合行政执法支队单位2025年财政拨款收入预算986.81万元，与上年预算相比增加13.72万元，主要原因是单位人员增加。收入包括：一般公共预算拨款收入986.81万元、政府性基金预算拨款收入0万元、上年财政结转结余0万元、国有资本经营预算拨款收入0万元、2025年财政拨款支出预算986.81万元，与上年预算相比增加13.72万元，主要原因是单位人员增加。支出包括：教育支出0.80万元 ；社会保障和就业支出107.90万元 ；卫生健康支出52.93万元 ；城乡社区支出825.18万元。</w:t>
      </w:r>
    </w:p>
    <w:p w14:paraId="4FA40FEB" w14:textId="77777777" w:rsidR="004F0648" w:rsidRDefault="00AD0F44">
      <w:pPr>
        <w:spacing w:line="560" w:lineRule="exact"/>
        <w:ind w:firstLine="600"/>
      </w:pPr>
      <w:r>
        <w:rPr>
          <w:rFonts w:ascii="黑体" w:eastAsia="黑体" w:hAnsi="黑体" w:cs="黑体"/>
          <w:b/>
          <w:color w:val="000000"/>
          <w:sz w:val="30"/>
        </w:rPr>
        <w:t>五、关于一般公共预算支出情况表的说明</w:t>
      </w:r>
    </w:p>
    <w:p w14:paraId="64037BF7" w14:textId="77777777" w:rsidR="004F0648" w:rsidRDefault="00AD0F44">
      <w:pPr>
        <w:spacing w:line="560" w:lineRule="exact"/>
        <w:ind w:firstLine="600"/>
      </w:pPr>
      <w:r>
        <w:rPr>
          <w:rFonts w:ascii="楷体" w:eastAsia="楷体" w:hAnsi="楷体" w:cs="楷体"/>
          <w:b/>
          <w:color w:val="000000"/>
          <w:sz w:val="30"/>
        </w:rPr>
        <w:t>（一）总体情况</w:t>
      </w:r>
    </w:p>
    <w:p w14:paraId="74B7AB83" w14:textId="77777777" w:rsidR="004F0648" w:rsidRDefault="00AD0F44">
      <w:pPr>
        <w:spacing w:line="560" w:lineRule="exact"/>
        <w:ind w:firstLine="600"/>
      </w:pPr>
      <w:r>
        <w:rPr>
          <w:rFonts w:ascii="仿宋" w:eastAsia="仿宋" w:hAnsi="仿宋" w:cs="仿宋"/>
          <w:color w:val="000000"/>
          <w:sz w:val="30"/>
        </w:rPr>
        <w:t>天津市西青区城市管理综合行政执法支队单位2025年一般公共预算支出986.81万元(上年973.09万元），与上年预算相比增加13.72万元，主要原因是单位人员增加。</w:t>
      </w:r>
    </w:p>
    <w:p w14:paraId="453BB94D" w14:textId="77777777" w:rsidR="004F0648" w:rsidRDefault="00AD0F44">
      <w:pPr>
        <w:spacing w:line="560" w:lineRule="exact"/>
        <w:ind w:firstLine="600"/>
      </w:pPr>
      <w:r>
        <w:rPr>
          <w:rFonts w:ascii="楷体" w:eastAsia="楷体" w:hAnsi="楷体" w:cs="楷体"/>
          <w:b/>
          <w:color w:val="000000"/>
          <w:sz w:val="30"/>
        </w:rPr>
        <w:t>（二）具体情况</w:t>
      </w:r>
    </w:p>
    <w:p w14:paraId="1F408A6E" w14:textId="77777777" w:rsidR="004F0648" w:rsidRDefault="00AD0F44">
      <w:pPr>
        <w:spacing w:line="560" w:lineRule="exact"/>
        <w:ind w:firstLine="600"/>
      </w:pPr>
      <w:r>
        <w:rPr>
          <w:rFonts w:ascii="仿宋" w:eastAsia="仿宋" w:hAnsi="仿宋" w:cs="仿宋"/>
          <w:color w:val="000000"/>
          <w:sz w:val="30"/>
        </w:rPr>
        <w:t>1、“教育支出（类）”0.80万元，与上年预算相比增加0.06万元，主要原因是单位人员增加。其中：“进修及培训（款）”0.80万元，包括：“培训支出（项）”0.80万元，主要用于单位在职人员培训支出。</w:t>
      </w:r>
    </w:p>
    <w:p w14:paraId="0A0B4E12" w14:textId="77777777" w:rsidR="004F0648" w:rsidRDefault="00AD0F44">
      <w:pPr>
        <w:spacing w:line="560" w:lineRule="exact"/>
        <w:ind w:firstLine="600"/>
      </w:pPr>
      <w:r>
        <w:rPr>
          <w:rFonts w:ascii="仿宋" w:eastAsia="仿宋" w:hAnsi="仿宋" w:cs="仿宋"/>
          <w:color w:val="000000"/>
          <w:sz w:val="30"/>
        </w:rPr>
        <w:t>2、“社会保障和就业支出（类）”107.90万元，与上年</w:t>
      </w:r>
      <w:r>
        <w:rPr>
          <w:rFonts w:ascii="仿宋" w:eastAsia="仿宋" w:hAnsi="仿宋" w:cs="仿宋"/>
          <w:color w:val="000000"/>
          <w:sz w:val="30"/>
        </w:rPr>
        <w:lastRenderedPageBreak/>
        <w:t>预算相比增加4.02万元，主要原因是单位人员增加。其中：“行政事业单位养老支出（款）”107.90万元，包括：“行政单位离退休（项）”2.03万元，主要用于单位退休人员相关补贴支出；“机关事业单位基本养老保险缴费支出（项）”70.58万元，主要用于单位在职人员养老保险缴费支出；“机关事业单位职业年金缴费支出（项）”35.29万元，主要用于单位在职人员职业年金缴费支出。</w:t>
      </w:r>
    </w:p>
    <w:p w14:paraId="6EBEAD2D" w14:textId="77777777" w:rsidR="004F0648" w:rsidRDefault="00AD0F44">
      <w:pPr>
        <w:spacing w:line="560" w:lineRule="exact"/>
        <w:ind w:firstLine="600"/>
      </w:pPr>
      <w:r>
        <w:rPr>
          <w:rFonts w:ascii="仿宋" w:eastAsia="仿宋" w:hAnsi="仿宋" w:cs="仿宋"/>
          <w:color w:val="000000"/>
          <w:sz w:val="30"/>
        </w:rPr>
        <w:t>3、“卫生健康支出（类）”52.93万元，与上年预算相比减少0.64万元，主要原因是社保调整缴费比例。其中：“行政事业单位医疗（款）”52.93万元，包括：“行政单位医疗（项）”44.11万元，主要用于单位在职人员基本医疗保险缴费支出；“公务员医疗补助（项）”8.82万元，主要用于单位在职人员医疗补助支出。</w:t>
      </w:r>
    </w:p>
    <w:p w14:paraId="240690BC" w14:textId="77777777" w:rsidR="004F0648" w:rsidRDefault="00AD0F44">
      <w:pPr>
        <w:spacing w:line="560" w:lineRule="exact"/>
        <w:ind w:firstLine="600"/>
      </w:pPr>
      <w:r>
        <w:rPr>
          <w:rFonts w:ascii="仿宋" w:eastAsia="仿宋" w:hAnsi="仿宋" w:cs="仿宋"/>
          <w:color w:val="000000"/>
          <w:sz w:val="30"/>
        </w:rPr>
        <w:t>4、“城乡社区支出（类）”825.18万元，与上年预算相比增加10.29万元，主要原因是单位人员增加。其中：“城乡社区管理事务（款）”825.18万元，包括：“城管执法（项）”825.18万元，主要用于单位在职人员工资支出及单位日常运行支出。</w:t>
      </w:r>
    </w:p>
    <w:p w14:paraId="2AEB39AA" w14:textId="77777777" w:rsidR="004F0648" w:rsidRDefault="00AD0F44">
      <w:pPr>
        <w:spacing w:line="560" w:lineRule="exact"/>
        <w:ind w:firstLine="600"/>
      </w:pPr>
      <w:r>
        <w:rPr>
          <w:rFonts w:ascii="黑体" w:eastAsia="黑体" w:hAnsi="黑体" w:cs="黑体"/>
          <w:b/>
          <w:color w:val="000000"/>
          <w:sz w:val="30"/>
        </w:rPr>
        <w:t>六、关于一般公共预算基本支出情况表的说明</w:t>
      </w:r>
    </w:p>
    <w:p w14:paraId="1D0FFF88" w14:textId="77777777" w:rsidR="004F0648" w:rsidRDefault="00AD0F44">
      <w:pPr>
        <w:spacing w:line="560" w:lineRule="exact"/>
        <w:ind w:firstLine="600"/>
      </w:pPr>
      <w:r>
        <w:rPr>
          <w:rFonts w:ascii="仿宋" w:eastAsia="仿宋" w:hAnsi="仿宋" w:cs="仿宋"/>
          <w:color w:val="000000"/>
          <w:sz w:val="30"/>
        </w:rPr>
        <w:t>天津市西青区城市管理综合行政执法支队单位2025年一般公共预算基本支出 986.81万元，与上年预算相比增加13.72万元，主要原因是单位人员增加。其中：人员经费 868.91万元，主要包括：基本工资、津贴补贴、奖金、机关事业单位基本养老保险缴费、职业年金缴费、职工基本医疗保险缴费、公</w:t>
      </w:r>
      <w:r>
        <w:rPr>
          <w:rFonts w:ascii="仿宋" w:eastAsia="仿宋" w:hAnsi="仿宋" w:cs="仿宋"/>
          <w:color w:val="000000"/>
          <w:sz w:val="30"/>
        </w:rPr>
        <w:lastRenderedPageBreak/>
        <w:t>务员医疗补助缴费、其他社会保障缴费、住房公积金、其他工资福利支出、退休费、奖励金、其他对个人和家庭的补助等；</w:t>
      </w:r>
    </w:p>
    <w:p w14:paraId="09CAD6E8" w14:textId="77777777" w:rsidR="004F0648" w:rsidRDefault="00AD0F44">
      <w:pPr>
        <w:spacing w:line="560" w:lineRule="exact"/>
        <w:ind w:firstLine="600"/>
      </w:pPr>
      <w:r>
        <w:rPr>
          <w:rFonts w:ascii="仿宋" w:eastAsia="仿宋" w:hAnsi="仿宋" w:cs="仿宋"/>
          <w:color w:val="000000"/>
          <w:sz w:val="30"/>
        </w:rPr>
        <w:t>公用经费117.90万元，主要包括：办公费、水费、电费、邮电费、物业管理费、差旅费、维修（护）费、培训费、工会经费、福利费、其他交通费用、其他商品和服务支出、办公设备购置等。</w:t>
      </w:r>
    </w:p>
    <w:p w14:paraId="45A3353C" w14:textId="77777777" w:rsidR="004F0648" w:rsidRDefault="00AD0F44">
      <w:pPr>
        <w:spacing w:line="560" w:lineRule="exact"/>
        <w:ind w:firstLine="600"/>
      </w:pPr>
      <w:r>
        <w:rPr>
          <w:rFonts w:ascii="黑体" w:eastAsia="黑体" w:hAnsi="黑体" w:cs="黑体"/>
          <w:b/>
          <w:color w:val="000000"/>
          <w:sz w:val="30"/>
        </w:rPr>
        <w:t>七、关于一般公共预算“三公”经费支出情况表的说明</w:t>
      </w:r>
      <w:r>
        <w:rPr>
          <w:rFonts w:ascii="仿宋" w:eastAsia="仿宋" w:hAnsi="仿宋" w:cs="仿宋"/>
          <w:color w:val="000000"/>
          <w:sz w:val="30"/>
        </w:rPr>
        <w:t>2025年一般公共预算“三公”经费安排0万元，与2024年预算相比00.00万元，主要原因是我单位无“三公”经费预算。</w:t>
      </w:r>
    </w:p>
    <w:p w14:paraId="213E060E" w14:textId="77777777" w:rsidR="004F0648" w:rsidRDefault="00AD0F44">
      <w:pPr>
        <w:spacing w:line="560" w:lineRule="exact"/>
        <w:ind w:firstLine="600"/>
      </w:pPr>
      <w:r>
        <w:rPr>
          <w:rFonts w:ascii="仿宋" w:eastAsia="仿宋" w:hAnsi="仿宋" w:cs="仿宋"/>
          <w:color w:val="000000"/>
          <w:sz w:val="30"/>
        </w:rPr>
        <w:t>具体情况：</w:t>
      </w:r>
    </w:p>
    <w:p w14:paraId="637B16F5" w14:textId="77777777" w:rsidR="004F0648" w:rsidRDefault="00AD0F44">
      <w:pPr>
        <w:spacing w:line="560" w:lineRule="exact"/>
        <w:ind w:firstLine="600"/>
      </w:pPr>
      <w:r>
        <w:rPr>
          <w:rFonts w:ascii="仿宋" w:eastAsia="仿宋" w:hAnsi="仿宋" w:cs="仿宋"/>
          <w:color w:val="000000"/>
          <w:sz w:val="30"/>
        </w:rPr>
        <w:t>一、2025年因公出国（境）费预算0万元，与2024年预算相比00.00万元，主要原因是我单位无因公出国（境）费预算。</w:t>
      </w:r>
    </w:p>
    <w:p w14:paraId="042CA6F9" w14:textId="77777777" w:rsidR="004F0648" w:rsidRDefault="00AD0F44">
      <w:pPr>
        <w:spacing w:line="560" w:lineRule="exact"/>
        <w:ind w:firstLine="600"/>
      </w:pPr>
      <w:r>
        <w:rPr>
          <w:rFonts w:ascii="仿宋" w:eastAsia="仿宋" w:hAnsi="仿宋" w:cs="仿宋"/>
          <w:color w:val="000000"/>
          <w:sz w:val="30"/>
        </w:rPr>
        <w:t>二、2025年公务用车购置及运行费预算0万元，</w:t>
      </w:r>
    </w:p>
    <w:p w14:paraId="400E5C7F" w14:textId="77777777" w:rsidR="004F0648" w:rsidRDefault="00AD0F44">
      <w:pPr>
        <w:spacing w:line="560" w:lineRule="exact"/>
        <w:ind w:firstLine="600"/>
      </w:pPr>
      <w:r>
        <w:rPr>
          <w:rFonts w:ascii="仿宋" w:eastAsia="仿宋" w:hAnsi="仿宋" w:cs="仿宋"/>
          <w:color w:val="000000"/>
          <w:sz w:val="30"/>
        </w:rPr>
        <w:t>其中公务用车运行费0万元，与2024年预算相比</w:t>
      </w:r>
      <w:r w:rsidR="00594858">
        <w:rPr>
          <w:rFonts w:ascii="仿宋" w:eastAsia="仿宋" w:hAnsi="仿宋" w:cs="仿宋"/>
          <w:color w:val="000000"/>
          <w:sz w:val="30"/>
        </w:rPr>
        <w:t>0</w:t>
      </w:r>
      <w:r>
        <w:rPr>
          <w:rFonts w:ascii="仿宋" w:eastAsia="仿宋" w:hAnsi="仿宋" w:cs="仿宋"/>
          <w:color w:val="000000"/>
          <w:sz w:val="30"/>
        </w:rPr>
        <w:t>万元，主要原因是我单位无公务用车；公务用车购置费0万元，与2024年预算相比</w:t>
      </w:r>
      <w:r w:rsidR="00594858">
        <w:rPr>
          <w:rFonts w:ascii="仿宋" w:eastAsia="仿宋" w:hAnsi="仿宋" w:cs="仿宋"/>
          <w:color w:val="000000"/>
          <w:sz w:val="30"/>
        </w:rPr>
        <w:t>0</w:t>
      </w:r>
      <w:r>
        <w:rPr>
          <w:rFonts w:ascii="仿宋" w:eastAsia="仿宋" w:hAnsi="仿宋" w:cs="仿宋"/>
          <w:color w:val="000000"/>
          <w:sz w:val="30"/>
        </w:rPr>
        <w:t>万元，主要原因是我单位无公务用车购置支出。</w:t>
      </w:r>
    </w:p>
    <w:p w14:paraId="01FF5D44" w14:textId="77777777" w:rsidR="004F0648" w:rsidRDefault="00AD0F44">
      <w:pPr>
        <w:spacing w:line="560" w:lineRule="exact"/>
        <w:ind w:firstLine="600"/>
      </w:pPr>
      <w:r>
        <w:rPr>
          <w:rFonts w:ascii="仿宋" w:eastAsia="仿宋" w:hAnsi="仿宋" w:cs="仿宋"/>
          <w:color w:val="000000"/>
          <w:sz w:val="30"/>
        </w:rPr>
        <w:t>三、2025年公务接待费预算0万元，与2024年预算相比00万元，主要原因是我单位无公务接待费支出。</w:t>
      </w:r>
    </w:p>
    <w:p w14:paraId="3CA9A71C" w14:textId="77777777" w:rsidR="004F0648" w:rsidRDefault="00AD0F44">
      <w:pPr>
        <w:spacing w:line="560" w:lineRule="exact"/>
        <w:ind w:firstLine="600"/>
      </w:pPr>
      <w:r>
        <w:rPr>
          <w:rFonts w:ascii="黑体" w:eastAsia="黑体" w:hAnsi="黑体" w:cs="黑体"/>
          <w:b/>
          <w:color w:val="000000"/>
          <w:sz w:val="30"/>
        </w:rPr>
        <w:t>八、关于政府性基金预算支出情况表的说明</w:t>
      </w:r>
    </w:p>
    <w:p w14:paraId="537CB9DC" w14:textId="77777777" w:rsidR="004F0648" w:rsidRDefault="00AD0F44">
      <w:pPr>
        <w:spacing w:line="560" w:lineRule="exact"/>
        <w:ind w:firstLine="600"/>
      </w:pPr>
      <w:r>
        <w:rPr>
          <w:rFonts w:ascii="仿宋" w:eastAsia="仿宋" w:hAnsi="仿宋" w:cs="仿宋"/>
          <w:color w:val="000000"/>
          <w:sz w:val="30"/>
        </w:rPr>
        <w:t>2025年天津市西青区城市管理综合行政执法支队单位预算中没有使用政府性基金预算安排的支出。</w:t>
      </w:r>
    </w:p>
    <w:p w14:paraId="72F311D9" w14:textId="77777777" w:rsidR="004F0648" w:rsidRDefault="00AD0F44">
      <w:pPr>
        <w:spacing w:line="560" w:lineRule="exact"/>
        <w:ind w:firstLine="600"/>
      </w:pPr>
      <w:r>
        <w:rPr>
          <w:rFonts w:ascii="黑体" w:eastAsia="黑体" w:hAnsi="黑体" w:cs="黑体"/>
          <w:b/>
          <w:color w:val="000000"/>
          <w:sz w:val="30"/>
        </w:rPr>
        <w:t>九、关于国有资本经营预算支出情况表的说明</w:t>
      </w:r>
    </w:p>
    <w:p w14:paraId="7200A55E" w14:textId="77777777" w:rsidR="004F0648" w:rsidRDefault="00AD0F44">
      <w:pPr>
        <w:spacing w:line="560" w:lineRule="exact"/>
        <w:ind w:firstLine="600"/>
      </w:pPr>
      <w:r>
        <w:rPr>
          <w:rFonts w:ascii="仿宋" w:eastAsia="仿宋" w:hAnsi="仿宋" w:cs="仿宋"/>
          <w:color w:val="000000"/>
          <w:sz w:val="30"/>
        </w:rPr>
        <w:lastRenderedPageBreak/>
        <w:t>2025年天津市</w:t>
      </w:r>
      <w:r w:rsidR="00594858">
        <w:rPr>
          <w:rFonts w:ascii="仿宋" w:eastAsia="仿宋" w:hAnsi="仿宋" w:cs="仿宋"/>
          <w:color w:val="000000"/>
          <w:sz w:val="30"/>
        </w:rPr>
        <w:t>西青区城市管理综合行政执法支队单位预算中没有使用国有资本经营</w:t>
      </w:r>
      <w:r>
        <w:rPr>
          <w:rFonts w:ascii="仿宋" w:eastAsia="仿宋" w:hAnsi="仿宋" w:cs="仿宋"/>
          <w:color w:val="000000"/>
          <w:sz w:val="30"/>
        </w:rPr>
        <w:t>预算安排的支出。</w:t>
      </w:r>
    </w:p>
    <w:p w14:paraId="1DD50AF3" w14:textId="77777777" w:rsidR="004F0648" w:rsidRDefault="00AD0F44">
      <w:pPr>
        <w:spacing w:line="560" w:lineRule="exact"/>
        <w:ind w:firstLine="600"/>
      </w:pPr>
      <w:r>
        <w:rPr>
          <w:rFonts w:ascii="黑体" w:eastAsia="黑体" w:hAnsi="黑体" w:cs="黑体"/>
          <w:b/>
          <w:color w:val="000000"/>
          <w:sz w:val="30"/>
        </w:rPr>
        <w:t>十、其他重要事项的情况说明</w:t>
      </w:r>
    </w:p>
    <w:p w14:paraId="1111D33D" w14:textId="77777777" w:rsidR="004F0648" w:rsidRDefault="00AD0F44">
      <w:pPr>
        <w:spacing w:line="560" w:lineRule="exact"/>
        <w:ind w:firstLine="600"/>
      </w:pPr>
      <w:r>
        <w:rPr>
          <w:rFonts w:ascii="楷体" w:eastAsia="楷体" w:hAnsi="楷体" w:cs="楷体"/>
          <w:b/>
          <w:color w:val="000000"/>
          <w:sz w:val="30"/>
        </w:rPr>
        <w:t>（一）机关运行经费。</w:t>
      </w:r>
    </w:p>
    <w:p w14:paraId="73E17F28" w14:textId="77777777" w:rsidR="004F0648" w:rsidRDefault="00AD0F44">
      <w:pPr>
        <w:spacing w:line="560" w:lineRule="exact"/>
        <w:ind w:firstLine="600"/>
      </w:pPr>
      <w:r>
        <w:rPr>
          <w:rFonts w:ascii="仿宋" w:eastAsia="仿宋" w:hAnsi="仿宋" w:cs="仿宋"/>
          <w:color w:val="000000"/>
          <w:sz w:val="30"/>
        </w:rPr>
        <w:t>本单位2025年0家行政单位以及天津市西青区城市管理综合行政执法支队1家参公管理事业单位的机关运行经费预算117.90万元，包括办公费8.29万元、水费0.78万元、电费2.34万元、邮电费0.78万元、物业管理费28.08万元、差旅费2.18万元、维修(护)费1.95万元、培训费0.80万元、工会经费10.70万元、福利费4.40万元、其他交通费用28.48万元、其他商品和服务支出27.17万元、办公设备购置1.95万元 。</w:t>
      </w:r>
    </w:p>
    <w:p w14:paraId="2CD823FC" w14:textId="77777777" w:rsidR="004F0648" w:rsidRDefault="00AD0F44">
      <w:pPr>
        <w:spacing w:line="560" w:lineRule="exact"/>
        <w:ind w:firstLine="600"/>
      </w:pPr>
      <w:r>
        <w:rPr>
          <w:rFonts w:ascii="楷体" w:eastAsia="楷体" w:hAnsi="楷体" w:cs="楷体"/>
          <w:b/>
          <w:color w:val="000000"/>
          <w:sz w:val="30"/>
        </w:rPr>
        <w:t>（二）政府采购情况</w:t>
      </w:r>
      <w:r>
        <w:rPr>
          <w:rFonts w:ascii="仿宋" w:eastAsia="仿宋" w:hAnsi="仿宋" w:cs="仿宋"/>
          <w:color w:val="000000"/>
          <w:sz w:val="30"/>
        </w:rPr>
        <w:t>本部门2025年安排政府采购预算0万元，其中：政府采购货物支出0万元、政府采购工程支出0万元、政府采购服务支出0万元。主要项目是：本部门2025年未安排政府采购预算。</w:t>
      </w:r>
    </w:p>
    <w:p w14:paraId="7AE93729" w14:textId="77777777" w:rsidR="004F0648" w:rsidRDefault="00AD0F44">
      <w:pPr>
        <w:spacing w:line="560" w:lineRule="exact"/>
        <w:ind w:firstLine="600"/>
      </w:pPr>
      <w:r>
        <w:rPr>
          <w:rFonts w:ascii="楷体" w:eastAsia="楷体" w:hAnsi="楷体" w:cs="楷体"/>
          <w:b/>
          <w:color w:val="000000"/>
          <w:sz w:val="30"/>
        </w:rPr>
        <w:t>（三）国有资产占用情况</w:t>
      </w:r>
    </w:p>
    <w:p w14:paraId="5FF61E12" w14:textId="77777777" w:rsidR="004F0648" w:rsidRDefault="00AD0F44">
      <w:pPr>
        <w:spacing w:line="560" w:lineRule="exact"/>
        <w:ind w:firstLine="600"/>
      </w:pPr>
      <w:r>
        <w:rPr>
          <w:rFonts w:ascii="仿宋" w:eastAsia="仿宋" w:hAnsi="仿宋" w:cs="仿宋"/>
          <w:color w:val="000000"/>
          <w:sz w:val="30"/>
        </w:rPr>
        <w:t>截至2024年12月底，本部门各单位共有车辆0辆、其中：副部（省）级及以上领导用车0辆、主要负责人干部用车0辆、机要通信用车0辆、应急保障用车0辆、执法执勤用车辆、特种专业技术用车0辆、离退休干部用车0辆、其他用车0辆，其他用车主要包括0。单价（账面原值）100万以上的设备0台（套）。</w:t>
      </w:r>
    </w:p>
    <w:p w14:paraId="7FEC943E" w14:textId="77777777" w:rsidR="004F0648" w:rsidRDefault="00AD0F44">
      <w:pPr>
        <w:spacing w:line="560" w:lineRule="exact"/>
        <w:ind w:firstLine="600"/>
      </w:pPr>
      <w:r>
        <w:rPr>
          <w:rFonts w:ascii="楷体" w:eastAsia="楷体" w:hAnsi="楷体" w:cs="楷体"/>
          <w:b/>
          <w:color w:val="000000"/>
          <w:sz w:val="30"/>
        </w:rPr>
        <w:t>（四）预算绩效情况说明。</w:t>
      </w:r>
    </w:p>
    <w:p w14:paraId="32000A75" w14:textId="77777777" w:rsidR="004F0648" w:rsidRDefault="00AD0F44">
      <w:pPr>
        <w:spacing w:line="560" w:lineRule="exact"/>
        <w:ind w:firstLine="600"/>
      </w:pPr>
      <w:r>
        <w:rPr>
          <w:rFonts w:ascii="仿宋" w:eastAsia="仿宋" w:hAnsi="仿宋" w:cs="仿宋"/>
          <w:color w:val="000000"/>
          <w:sz w:val="30"/>
        </w:rPr>
        <w:t>天津市西青区城市管理综合行政执法支队单位2025年实行</w:t>
      </w:r>
      <w:r>
        <w:rPr>
          <w:rFonts w:ascii="仿宋" w:eastAsia="仿宋" w:hAnsi="仿宋" w:cs="仿宋"/>
          <w:color w:val="000000"/>
          <w:sz w:val="30"/>
        </w:rPr>
        <w:lastRenderedPageBreak/>
        <w:t>绩效目标管理的项目0个，涉及预算金额0万元。</w:t>
      </w:r>
    </w:p>
    <w:p w14:paraId="469DEEC3" w14:textId="77777777" w:rsidR="004F0648" w:rsidRDefault="00AD0F44">
      <w:pPr>
        <w:pageBreakBefore/>
        <w:spacing w:line="560" w:lineRule="exact"/>
        <w:jc w:val="center"/>
      </w:pPr>
      <w:r>
        <w:rPr>
          <w:rFonts w:ascii="黑体" w:eastAsia="黑体" w:hAnsi="黑体" w:cs="黑体"/>
          <w:b/>
          <w:color w:val="000000"/>
          <w:sz w:val="48"/>
        </w:rPr>
        <w:lastRenderedPageBreak/>
        <w:t>第三部分  名词解释</w:t>
      </w:r>
    </w:p>
    <w:p w14:paraId="33DD9AE3" w14:textId="77777777" w:rsidR="004F0648" w:rsidRDefault="00AD0F44">
      <w:pPr>
        <w:spacing w:line="560" w:lineRule="exact"/>
        <w:ind w:firstLine="560"/>
      </w:pPr>
      <w:r>
        <w:rPr>
          <w:rFonts w:ascii="仿宋" w:eastAsia="仿宋" w:hAnsi="仿宋" w:cs="仿宋"/>
          <w:b/>
          <w:color w:val="000000"/>
          <w:sz w:val="28"/>
        </w:rPr>
        <w:t>一、部门预算:</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14:paraId="578BCD75" w14:textId="77777777" w:rsidR="004F0648" w:rsidRDefault="00AD0F44">
      <w:pPr>
        <w:spacing w:line="560" w:lineRule="exact"/>
        <w:ind w:firstLine="560"/>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14:paraId="2955D6ED" w14:textId="77777777" w:rsidR="004F0648" w:rsidRDefault="00AD0F44">
      <w:pPr>
        <w:spacing w:line="560" w:lineRule="exact"/>
        <w:ind w:firstLine="560"/>
      </w:pPr>
      <w:r>
        <w:rPr>
          <w:rFonts w:ascii="仿宋" w:eastAsia="仿宋" w:hAnsi="仿宋" w:cs="仿宋"/>
          <w:b/>
          <w:color w:val="000000"/>
          <w:sz w:val="28"/>
        </w:rPr>
        <w:t>三、项目支出:</w:t>
      </w:r>
      <w:r>
        <w:rPr>
          <w:rFonts w:ascii="仿宋" w:eastAsia="仿宋" w:hAnsi="仿宋" w:cs="仿宋"/>
          <w:color w:val="000000"/>
          <w:sz w:val="28"/>
        </w:rPr>
        <w:t>指在基本支出之外为完成特定行政任务和事业发展目标所发生的支出。</w:t>
      </w:r>
    </w:p>
    <w:p w14:paraId="5D22F845" w14:textId="77777777" w:rsidR="004F0648" w:rsidRDefault="00AD0F44">
      <w:pPr>
        <w:spacing w:line="560" w:lineRule="exact"/>
        <w:ind w:firstLine="560"/>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19B556C" w14:textId="77777777" w:rsidR="004F0648" w:rsidRDefault="00AD0F44">
      <w:pPr>
        <w:pageBreakBefore/>
        <w:spacing w:line="2000" w:lineRule="exact"/>
        <w:jc w:val="center"/>
      </w:pPr>
      <w:r>
        <w:rPr>
          <w:rFonts w:ascii="FZXiaoBiaoSong-B05S" w:eastAsia="FZXiaoBiaoSong-B05S" w:hAnsi="FZXiaoBiaoSong-B05S" w:cs="FZXiaoBiaoSong-B05S"/>
          <w:b/>
          <w:color w:val="000000"/>
          <w:sz w:val="48"/>
        </w:rPr>
        <w:lastRenderedPageBreak/>
        <w:t>第四部分   2025年单位预算表</w:t>
      </w:r>
    </w:p>
    <w:p w14:paraId="5F28C85B" w14:textId="77777777" w:rsidR="004F0648" w:rsidRDefault="00AD0F44">
      <w:pPr>
        <w:spacing w:line="560" w:lineRule="exact"/>
      </w:pPr>
      <w:r>
        <w:rPr>
          <w:rFonts w:ascii="楷体" w:eastAsia="楷体" w:hAnsi="楷体" w:cs="楷体"/>
          <w:b/>
          <w:color w:val="000000"/>
          <w:sz w:val="30"/>
        </w:rPr>
        <w:t>一、《部门收支总体情况表》</w:t>
      </w:r>
    </w:p>
    <w:p w14:paraId="3A9B26C5" w14:textId="77777777" w:rsidR="004F0648" w:rsidRDefault="00AD0F44">
      <w:pPr>
        <w:spacing w:line="560" w:lineRule="exact"/>
      </w:pPr>
      <w:r>
        <w:rPr>
          <w:rFonts w:ascii="楷体" w:eastAsia="楷体" w:hAnsi="楷体" w:cs="楷体"/>
          <w:b/>
          <w:color w:val="000000"/>
          <w:sz w:val="30"/>
        </w:rPr>
        <w:t>二、《部门收入总体情况表》</w:t>
      </w:r>
    </w:p>
    <w:p w14:paraId="6D2B39FE" w14:textId="77777777" w:rsidR="004F0648" w:rsidRDefault="00AD0F44">
      <w:pPr>
        <w:spacing w:line="560" w:lineRule="exact"/>
      </w:pPr>
      <w:r>
        <w:rPr>
          <w:rFonts w:ascii="楷体" w:eastAsia="楷体" w:hAnsi="楷体" w:cs="楷体"/>
          <w:b/>
          <w:color w:val="000000"/>
          <w:sz w:val="30"/>
        </w:rPr>
        <w:t>三、《部门支出总体情况表》</w:t>
      </w:r>
    </w:p>
    <w:p w14:paraId="2E5CAABA" w14:textId="77777777" w:rsidR="004F0648" w:rsidRDefault="00AD0F44">
      <w:pPr>
        <w:spacing w:line="560" w:lineRule="exact"/>
      </w:pPr>
      <w:r>
        <w:rPr>
          <w:rFonts w:ascii="楷体" w:eastAsia="楷体" w:hAnsi="楷体" w:cs="楷体"/>
          <w:b/>
          <w:color w:val="000000"/>
          <w:sz w:val="30"/>
        </w:rPr>
        <w:t>四、《财政拨款收支总体情况表》</w:t>
      </w:r>
    </w:p>
    <w:p w14:paraId="340E7950" w14:textId="77777777" w:rsidR="004F0648" w:rsidRDefault="00AD0F44">
      <w:pPr>
        <w:spacing w:line="560" w:lineRule="exact"/>
      </w:pPr>
      <w:r>
        <w:rPr>
          <w:rFonts w:ascii="楷体" w:eastAsia="楷体" w:hAnsi="楷体" w:cs="楷体"/>
          <w:b/>
          <w:color w:val="000000"/>
          <w:sz w:val="30"/>
        </w:rPr>
        <w:t>五、《一般公共预算支出情况表》</w:t>
      </w:r>
    </w:p>
    <w:p w14:paraId="2A50C070" w14:textId="77777777" w:rsidR="004F0648" w:rsidRDefault="00AD0F44">
      <w:pPr>
        <w:spacing w:line="560" w:lineRule="exact"/>
      </w:pPr>
      <w:r>
        <w:rPr>
          <w:rFonts w:ascii="楷体" w:eastAsia="楷体" w:hAnsi="楷体" w:cs="楷体"/>
          <w:b/>
          <w:color w:val="000000"/>
          <w:sz w:val="30"/>
        </w:rPr>
        <w:t>六、《一般公共预算基本支出情况表》</w:t>
      </w:r>
    </w:p>
    <w:p w14:paraId="76F36260" w14:textId="77777777" w:rsidR="004F0648" w:rsidRDefault="00AD0F44">
      <w:pPr>
        <w:spacing w:line="560" w:lineRule="exact"/>
      </w:pPr>
      <w:r>
        <w:rPr>
          <w:rFonts w:ascii="楷体" w:eastAsia="楷体" w:hAnsi="楷体" w:cs="楷体"/>
          <w:b/>
          <w:color w:val="000000"/>
          <w:sz w:val="30"/>
        </w:rPr>
        <w:t>七、《一般公共预算“三公”经费支出情况表》</w:t>
      </w:r>
    </w:p>
    <w:p w14:paraId="7211E6F9" w14:textId="77777777" w:rsidR="004F0648" w:rsidRDefault="00AD0F44">
      <w:pPr>
        <w:spacing w:line="560" w:lineRule="exact"/>
      </w:pPr>
      <w:r>
        <w:rPr>
          <w:rFonts w:ascii="楷体" w:eastAsia="楷体" w:hAnsi="楷体" w:cs="楷体"/>
          <w:b/>
          <w:color w:val="000000"/>
          <w:sz w:val="30"/>
        </w:rPr>
        <w:t>八、《政府性基金预算支出情况表》</w:t>
      </w:r>
    </w:p>
    <w:p w14:paraId="33D6C017" w14:textId="77777777" w:rsidR="004F0648" w:rsidRDefault="00AD0F44">
      <w:pPr>
        <w:spacing w:line="560" w:lineRule="exact"/>
      </w:pPr>
      <w:r>
        <w:rPr>
          <w:rFonts w:ascii="楷体" w:eastAsia="楷体" w:hAnsi="楷体" w:cs="楷体"/>
          <w:b/>
          <w:color w:val="000000"/>
          <w:sz w:val="30"/>
        </w:rPr>
        <w:t>九、《国有资本经营预算支出情况表》</w:t>
      </w:r>
    </w:p>
    <w:p w14:paraId="5093FFE8" w14:textId="77777777" w:rsidR="004F0648" w:rsidRDefault="00AD0F44">
      <w:pPr>
        <w:spacing w:line="560" w:lineRule="exact"/>
      </w:pPr>
      <w:r>
        <w:rPr>
          <w:rFonts w:ascii="楷体" w:eastAsia="楷体" w:hAnsi="楷体" w:cs="楷体"/>
          <w:b/>
          <w:color w:val="000000"/>
          <w:sz w:val="30"/>
        </w:rPr>
        <w:t>十、《项目支出表》</w:t>
      </w:r>
    </w:p>
    <w:p w14:paraId="58CD410B" w14:textId="77777777" w:rsidR="004F0648" w:rsidRDefault="00AD0F44">
      <w:pPr>
        <w:spacing w:line="560" w:lineRule="exact"/>
      </w:pPr>
      <w:r>
        <w:rPr>
          <w:rFonts w:ascii="楷体" w:eastAsia="楷体" w:hAnsi="楷体" w:cs="楷体"/>
          <w:b/>
          <w:color w:val="000000"/>
          <w:sz w:val="30"/>
        </w:rPr>
        <w:t>十一、关于空表说明</w:t>
      </w:r>
    </w:p>
    <w:p w14:paraId="55453410" w14:textId="77777777" w:rsidR="004F0648" w:rsidRDefault="00AD0F44">
      <w:pPr>
        <w:pageBreakBefore/>
        <w:spacing w:line="560" w:lineRule="exact"/>
      </w:pPr>
      <w:r>
        <w:rPr>
          <w:rFonts w:ascii="仿宋" w:eastAsia="仿宋" w:hAnsi="仿宋" w:cs="仿宋"/>
          <w:b/>
          <w:color w:val="000000"/>
          <w:sz w:val="30"/>
        </w:rPr>
        <w:lastRenderedPageBreak/>
        <w:t>十一、关于空表的说明</w:t>
      </w:r>
    </w:p>
    <w:p w14:paraId="5AEB2752" w14:textId="77777777" w:rsidR="004F0648" w:rsidRDefault="00AD0F44">
      <w:pPr>
        <w:spacing w:line="560" w:lineRule="exact"/>
        <w:ind w:firstLine="600"/>
      </w:pPr>
      <w:r>
        <w:rPr>
          <w:rFonts w:ascii="仿宋" w:eastAsia="仿宋" w:hAnsi="仿宋" w:cs="仿宋"/>
          <w:color w:val="000000"/>
          <w:sz w:val="30"/>
        </w:rPr>
        <w:t>本单位2025年一般公共预算“三公”经费支出情况表为空表</w:t>
      </w:r>
    </w:p>
    <w:p w14:paraId="0A506902" w14:textId="77777777" w:rsidR="004F0648" w:rsidRDefault="00AD0F44">
      <w:pPr>
        <w:spacing w:line="560" w:lineRule="exact"/>
        <w:ind w:firstLine="600"/>
      </w:pPr>
      <w:r>
        <w:rPr>
          <w:rFonts w:ascii="仿宋" w:eastAsia="仿宋" w:hAnsi="仿宋" w:cs="仿宋"/>
          <w:color w:val="000000"/>
          <w:sz w:val="30"/>
        </w:rPr>
        <w:t>本单位2025年政府性基金预算支出情况表为空表</w:t>
      </w:r>
    </w:p>
    <w:p w14:paraId="49D91AA3" w14:textId="77777777" w:rsidR="004F0648" w:rsidRDefault="00AD0F44">
      <w:pPr>
        <w:spacing w:line="560" w:lineRule="exact"/>
        <w:ind w:firstLine="600"/>
      </w:pPr>
      <w:r>
        <w:rPr>
          <w:rFonts w:ascii="仿宋" w:eastAsia="仿宋" w:hAnsi="仿宋" w:cs="仿宋"/>
          <w:color w:val="000000"/>
          <w:sz w:val="30"/>
        </w:rPr>
        <w:t>本单位2025年国有资本经营预算支出情况表为空表</w:t>
      </w:r>
    </w:p>
    <w:p w14:paraId="28DFBFCD" w14:textId="77777777" w:rsidR="004F0648" w:rsidRDefault="00AD0F44">
      <w:pPr>
        <w:spacing w:line="560" w:lineRule="exact"/>
        <w:ind w:firstLine="600"/>
      </w:pPr>
      <w:r>
        <w:rPr>
          <w:rFonts w:ascii="仿宋" w:eastAsia="仿宋" w:hAnsi="仿宋" w:cs="仿宋"/>
          <w:color w:val="000000"/>
          <w:sz w:val="30"/>
        </w:rPr>
        <w:t>本单位2025年项目支出表为空表</w:t>
      </w:r>
    </w:p>
    <w:sectPr w:rsidR="004F06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92D7F" w14:textId="77777777" w:rsidR="00C520FB" w:rsidRDefault="00C520FB" w:rsidP="00594858">
      <w:r>
        <w:separator/>
      </w:r>
    </w:p>
  </w:endnote>
  <w:endnote w:type="continuationSeparator" w:id="0">
    <w:p w14:paraId="611931F9" w14:textId="77777777" w:rsidR="00C520FB" w:rsidRDefault="00C520FB" w:rsidP="00594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ZXiaoBiaoSong-B05S">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楷体">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B83AE" w14:textId="77777777" w:rsidR="00C520FB" w:rsidRDefault="00C520FB" w:rsidP="00594858">
      <w:r>
        <w:separator/>
      </w:r>
    </w:p>
  </w:footnote>
  <w:footnote w:type="continuationSeparator" w:id="0">
    <w:p w14:paraId="38DB169A" w14:textId="77777777" w:rsidR="00C520FB" w:rsidRDefault="00C520FB" w:rsidP="005948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F0648"/>
    <w:rsid w:val="00191C5A"/>
    <w:rsid w:val="00193128"/>
    <w:rsid w:val="004F0648"/>
    <w:rsid w:val="00594858"/>
    <w:rsid w:val="008C2F40"/>
    <w:rsid w:val="00A528F8"/>
    <w:rsid w:val="00AD0F44"/>
    <w:rsid w:val="00C520FB"/>
    <w:rsid w:val="00CE37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9F926"/>
  <w15:docId w15:val="{50F294DE-FC50-4906-B9E7-82013DB6A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9485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594858"/>
    <w:rPr>
      <w:sz w:val="18"/>
      <w:szCs w:val="18"/>
    </w:rPr>
  </w:style>
  <w:style w:type="paragraph" w:styleId="a5">
    <w:name w:val="footer"/>
    <w:basedOn w:val="a"/>
    <w:link w:val="a6"/>
    <w:uiPriority w:val="99"/>
    <w:semiHidden/>
    <w:unhideWhenUsed/>
    <w:rsid w:val="00594858"/>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59485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711</Words>
  <Characters>4059</Characters>
  <Application>Microsoft Office Word</Application>
  <DocSecurity>0</DocSecurity>
  <Lines>33</Lines>
  <Paragraphs>9</Paragraphs>
  <ScaleCrop>false</ScaleCrop>
  <Company>user</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晗敬 范</cp:lastModifiedBy>
  <cp:revision>6</cp:revision>
  <dcterms:created xsi:type="dcterms:W3CDTF">2025-03-19T06:04:00Z</dcterms:created>
  <dcterms:modified xsi:type="dcterms:W3CDTF">2025-03-19T14:12:00Z</dcterms:modified>
</cp:coreProperties>
</file>