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951D" w14:textId="77777777" w:rsidR="00E40648" w:rsidRDefault="00B24358">
      <w:pPr>
        <w:spacing w:line="2600" w:lineRule="exact"/>
        <w:jc w:val="center"/>
      </w:pPr>
      <w:r>
        <w:rPr>
          <w:rFonts w:ascii="FZXiaoBiaoSong-B05S" w:eastAsia="FZXiaoBiaoSong-B05S" w:hAnsi="FZXiaoBiaoSong-B05S" w:cs="FZXiaoBiaoSong-B05S"/>
          <w:b/>
          <w:color w:val="000000"/>
          <w:sz w:val="48"/>
        </w:rPr>
        <w:t>天津市西青区市场监督管理局</w:t>
      </w:r>
      <w:r>
        <w:rPr>
          <w:rFonts w:ascii="FZXiaoBiaoSong-B05S" w:eastAsia="FZXiaoBiaoSong-B05S" w:hAnsi="FZXiaoBiaoSong-B05S" w:cs="FZXiaoBiaoSong-B05S"/>
          <w:b/>
          <w:color w:val="000000"/>
          <w:sz w:val="48"/>
        </w:rPr>
        <w:br/>
        <w:t>2025年度部门预算公开</w:t>
      </w:r>
    </w:p>
    <w:p w14:paraId="75C5637B" w14:textId="77777777" w:rsidR="00E40648" w:rsidRDefault="00B24358">
      <w:pPr>
        <w:pageBreakBefore/>
        <w:spacing w:line="560" w:lineRule="exact"/>
        <w:jc w:val="center"/>
      </w:pPr>
      <w:r>
        <w:rPr>
          <w:rFonts w:ascii="黑体" w:eastAsia="黑体" w:hAnsi="黑体" w:cs="黑体"/>
          <w:b/>
          <w:color w:val="000000"/>
          <w:sz w:val="44"/>
        </w:rPr>
        <w:lastRenderedPageBreak/>
        <w:t>目    录</w:t>
      </w:r>
    </w:p>
    <w:p w14:paraId="30865FBE" w14:textId="77777777" w:rsidR="00E40648" w:rsidRDefault="00B24358">
      <w:pPr>
        <w:spacing w:line="560" w:lineRule="exact"/>
        <w:ind w:firstLine="900"/>
      </w:pPr>
      <w:r>
        <w:rPr>
          <w:rFonts w:ascii="仿宋" w:eastAsia="仿宋" w:hAnsi="仿宋" w:cs="仿宋"/>
          <w:b/>
          <w:color w:val="000000"/>
          <w:sz w:val="30"/>
        </w:rPr>
        <w:t>第一部分  概况</w:t>
      </w:r>
    </w:p>
    <w:p w14:paraId="2E13D1D1" w14:textId="77777777" w:rsidR="00E40648" w:rsidRDefault="00B24358">
      <w:pPr>
        <w:spacing w:line="560" w:lineRule="exact"/>
        <w:ind w:firstLine="900"/>
      </w:pPr>
      <w:r>
        <w:rPr>
          <w:rFonts w:ascii="仿宋" w:eastAsia="仿宋" w:hAnsi="仿宋" w:cs="仿宋"/>
          <w:color w:val="000000"/>
          <w:sz w:val="30"/>
        </w:rPr>
        <w:t>一、主要职责</w:t>
      </w:r>
    </w:p>
    <w:p w14:paraId="496517F1" w14:textId="77777777" w:rsidR="00E40648" w:rsidRDefault="00B24358">
      <w:pPr>
        <w:spacing w:line="560" w:lineRule="exact"/>
        <w:ind w:firstLine="900"/>
      </w:pPr>
      <w:r>
        <w:rPr>
          <w:rFonts w:ascii="仿宋" w:eastAsia="仿宋" w:hAnsi="仿宋" w:cs="仿宋"/>
          <w:color w:val="000000"/>
          <w:sz w:val="30"/>
        </w:rPr>
        <w:t>二、机构设置情况</w:t>
      </w:r>
    </w:p>
    <w:p w14:paraId="46544A4C" w14:textId="77777777" w:rsidR="00E40648" w:rsidRDefault="00B24358">
      <w:pPr>
        <w:spacing w:line="560" w:lineRule="exact"/>
        <w:ind w:firstLine="900"/>
      </w:pPr>
      <w:r>
        <w:rPr>
          <w:rFonts w:ascii="仿宋" w:eastAsia="仿宋" w:hAnsi="仿宋" w:cs="仿宋"/>
          <w:b/>
          <w:color w:val="000000"/>
          <w:sz w:val="30"/>
        </w:rPr>
        <w:t>第二部分  2025年部门情况说明</w:t>
      </w:r>
    </w:p>
    <w:p w14:paraId="2AB325F8" w14:textId="77777777" w:rsidR="00E40648" w:rsidRDefault="00B24358">
      <w:pPr>
        <w:spacing w:line="560" w:lineRule="exact"/>
        <w:ind w:firstLine="900"/>
      </w:pPr>
      <w:r>
        <w:rPr>
          <w:rFonts w:ascii="仿宋" w:eastAsia="仿宋" w:hAnsi="仿宋" w:cs="仿宋"/>
          <w:color w:val="000000"/>
          <w:sz w:val="30"/>
        </w:rPr>
        <w:t>一、关于收支总体情况表的说明</w:t>
      </w:r>
    </w:p>
    <w:p w14:paraId="35C46533" w14:textId="77777777" w:rsidR="00E40648" w:rsidRDefault="00B24358">
      <w:pPr>
        <w:spacing w:line="560" w:lineRule="exact"/>
        <w:ind w:firstLine="900"/>
      </w:pPr>
      <w:r>
        <w:rPr>
          <w:rFonts w:ascii="仿宋" w:eastAsia="仿宋" w:hAnsi="仿宋" w:cs="仿宋"/>
          <w:color w:val="000000"/>
          <w:sz w:val="30"/>
        </w:rPr>
        <w:t>二、关于收入总体情况表的说明</w:t>
      </w:r>
    </w:p>
    <w:p w14:paraId="4A6B21A7" w14:textId="77777777" w:rsidR="00E40648" w:rsidRDefault="00B24358">
      <w:pPr>
        <w:spacing w:line="560" w:lineRule="exact"/>
        <w:ind w:firstLine="900"/>
      </w:pPr>
      <w:r>
        <w:rPr>
          <w:rFonts w:ascii="仿宋" w:eastAsia="仿宋" w:hAnsi="仿宋" w:cs="仿宋"/>
          <w:color w:val="000000"/>
          <w:sz w:val="30"/>
        </w:rPr>
        <w:t>三、关于支出总体情况表的说明</w:t>
      </w:r>
    </w:p>
    <w:p w14:paraId="0AF6F27E" w14:textId="77777777" w:rsidR="00E40648" w:rsidRDefault="00B24358">
      <w:pPr>
        <w:spacing w:line="560" w:lineRule="exact"/>
        <w:ind w:firstLine="900"/>
      </w:pPr>
      <w:r>
        <w:rPr>
          <w:rFonts w:ascii="仿宋" w:eastAsia="仿宋" w:hAnsi="仿宋" w:cs="仿宋"/>
          <w:color w:val="000000"/>
          <w:sz w:val="30"/>
        </w:rPr>
        <w:t>四、关于财政拨款收支总体情况表的说明</w:t>
      </w:r>
    </w:p>
    <w:p w14:paraId="3EC171B0" w14:textId="77777777" w:rsidR="00E40648" w:rsidRDefault="00B24358">
      <w:pPr>
        <w:spacing w:line="560" w:lineRule="exact"/>
        <w:ind w:firstLine="900"/>
      </w:pPr>
      <w:r>
        <w:rPr>
          <w:rFonts w:ascii="仿宋" w:eastAsia="仿宋" w:hAnsi="仿宋" w:cs="仿宋"/>
          <w:color w:val="000000"/>
          <w:sz w:val="30"/>
        </w:rPr>
        <w:t>五、关于一般公共预算支出情况表的说明</w:t>
      </w:r>
    </w:p>
    <w:p w14:paraId="1E334355" w14:textId="77777777" w:rsidR="00E40648" w:rsidRDefault="00B24358">
      <w:pPr>
        <w:spacing w:line="560" w:lineRule="exact"/>
        <w:ind w:firstLine="900"/>
      </w:pPr>
      <w:r>
        <w:rPr>
          <w:rFonts w:ascii="仿宋" w:eastAsia="仿宋" w:hAnsi="仿宋" w:cs="仿宋"/>
          <w:color w:val="000000"/>
          <w:sz w:val="30"/>
        </w:rPr>
        <w:t>六、关于一般公共预算基本支出情况表的说明</w:t>
      </w:r>
    </w:p>
    <w:p w14:paraId="2FAAD7EA" w14:textId="77777777" w:rsidR="00E40648" w:rsidRDefault="00B24358">
      <w:pPr>
        <w:spacing w:line="560" w:lineRule="exact"/>
        <w:ind w:firstLine="900"/>
      </w:pPr>
      <w:r>
        <w:rPr>
          <w:rFonts w:ascii="仿宋" w:eastAsia="仿宋" w:hAnsi="仿宋" w:cs="仿宋"/>
          <w:color w:val="000000"/>
          <w:sz w:val="30"/>
        </w:rPr>
        <w:t>七、关于一般公共预算“三公”经费支出情况表的说明</w:t>
      </w:r>
    </w:p>
    <w:p w14:paraId="482A0326" w14:textId="77777777" w:rsidR="00E40648" w:rsidRDefault="00B24358">
      <w:pPr>
        <w:spacing w:line="560" w:lineRule="exact"/>
        <w:ind w:firstLine="900"/>
      </w:pPr>
      <w:r>
        <w:rPr>
          <w:rFonts w:ascii="仿宋" w:eastAsia="仿宋" w:hAnsi="仿宋" w:cs="仿宋"/>
          <w:color w:val="000000"/>
          <w:sz w:val="30"/>
        </w:rPr>
        <w:t>八、关于政府性基金预算支出情况表的说明</w:t>
      </w:r>
    </w:p>
    <w:p w14:paraId="0EC7AC2A" w14:textId="77777777" w:rsidR="00E40648" w:rsidRDefault="00B24358">
      <w:pPr>
        <w:spacing w:line="560" w:lineRule="exact"/>
        <w:ind w:firstLine="900"/>
      </w:pPr>
      <w:r>
        <w:rPr>
          <w:rFonts w:ascii="仿宋" w:eastAsia="仿宋" w:hAnsi="仿宋" w:cs="仿宋"/>
          <w:color w:val="000000"/>
          <w:sz w:val="30"/>
        </w:rPr>
        <w:t>九、关于国有资本经营预算支出情况表的说明</w:t>
      </w:r>
    </w:p>
    <w:p w14:paraId="1D247531" w14:textId="77777777" w:rsidR="00E40648" w:rsidRDefault="00B24358">
      <w:pPr>
        <w:spacing w:line="560" w:lineRule="exact"/>
        <w:ind w:firstLine="900"/>
      </w:pPr>
      <w:r>
        <w:rPr>
          <w:rFonts w:ascii="仿宋" w:eastAsia="仿宋" w:hAnsi="仿宋" w:cs="仿宋"/>
          <w:color w:val="000000"/>
          <w:sz w:val="30"/>
        </w:rPr>
        <w:t>十、其他重要事项的情况说明</w:t>
      </w:r>
    </w:p>
    <w:p w14:paraId="1AB0998B" w14:textId="77777777" w:rsidR="00E40648" w:rsidRDefault="00B24358">
      <w:pPr>
        <w:spacing w:line="560" w:lineRule="exact"/>
        <w:ind w:firstLine="900"/>
      </w:pPr>
      <w:r>
        <w:rPr>
          <w:rFonts w:ascii="仿宋" w:eastAsia="仿宋" w:hAnsi="仿宋" w:cs="仿宋"/>
          <w:b/>
          <w:color w:val="000000"/>
          <w:sz w:val="30"/>
        </w:rPr>
        <w:t>第三部分  名词解释</w:t>
      </w:r>
    </w:p>
    <w:p w14:paraId="03FF1A94" w14:textId="77777777" w:rsidR="00E40648" w:rsidRDefault="00B24358">
      <w:pPr>
        <w:spacing w:line="560" w:lineRule="exact"/>
        <w:ind w:firstLine="900"/>
      </w:pPr>
      <w:r>
        <w:rPr>
          <w:rFonts w:ascii="仿宋" w:eastAsia="仿宋" w:hAnsi="仿宋" w:cs="仿宋"/>
          <w:b/>
          <w:color w:val="000000"/>
          <w:sz w:val="30"/>
        </w:rPr>
        <w:t>第四部分  2025年部门预算表</w:t>
      </w:r>
    </w:p>
    <w:p w14:paraId="6CAB5244" w14:textId="77777777" w:rsidR="00E40648" w:rsidRDefault="00B24358">
      <w:pPr>
        <w:spacing w:line="560" w:lineRule="exact"/>
        <w:ind w:firstLine="900"/>
      </w:pPr>
      <w:r>
        <w:rPr>
          <w:rFonts w:ascii="仿宋" w:eastAsia="仿宋" w:hAnsi="仿宋" w:cs="仿宋"/>
          <w:color w:val="000000"/>
          <w:sz w:val="30"/>
        </w:rPr>
        <w:t>一、部门收支总体情况表</w:t>
      </w:r>
    </w:p>
    <w:p w14:paraId="037FE4E1" w14:textId="77777777" w:rsidR="00E40648" w:rsidRDefault="00B24358">
      <w:pPr>
        <w:spacing w:line="560" w:lineRule="exact"/>
        <w:ind w:firstLine="900"/>
      </w:pPr>
      <w:r>
        <w:rPr>
          <w:rFonts w:ascii="仿宋" w:eastAsia="仿宋" w:hAnsi="仿宋" w:cs="仿宋"/>
          <w:color w:val="000000"/>
          <w:sz w:val="30"/>
        </w:rPr>
        <w:t>二、部门收入总体情况表</w:t>
      </w:r>
    </w:p>
    <w:p w14:paraId="5C7C4E0C" w14:textId="77777777" w:rsidR="00E40648" w:rsidRDefault="00B24358">
      <w:pPr>
        <w:spacing w:line="560" w:lineRule="exact"/>
        <w:ind w:firstLine="900"/>
      </w:pPr>
      <w:r>
        <w:rPr>
          <w:rFonts w:ascii="仿宋" w:eastAsia="仿宋" w:hAnsi="仿宋" w:cs="仿宋"/>
          <w:color w:val="000000"/>
          <w:sz w:val="30"/>
        </w:rPr>
        <w:t>三、部门支出总体情况表</w:t>
      </w:r>
    </w:p>
    <w:p w14:paraId="27CB190C" w14:textId="77777777" w:rsidR="00E40648" w:rsidRDefault="00B24358">
      <w:pPr>
        <w:spacing w:line="560" w:lineRule="exact"/>
        <w:ind w:firstLine="900"/>
      </w:pPr>
      <w:r>
        <w:rPr>
          <w:rFonts w:ascii="仿宋" w:eastAsia="仿宋" w:hAnsi="仿宋" w:cs="仿宋"/>
          <w:color w:val="000000"/>
          <w:sz w:val="30"/>
        </w:rPr>
        <w:t>四、财政拨款收支总体情况表</w:t>
      </w:r>
    </w:p>
    <w:p w14:paraId="358CB069" w14:textId="77777777" w:rsidR="00E40648" w:rsidRDefault="00B24358">
      <w:pPr>
        <w:spacing w:line="560" w:lineRule="exact"/>
        <w:ind w:firstLine="900"/>
      </w:pPr>
      <w:r>
        <w:rPr>
          <w:rFonts w:ascii="仿宋" w:eastAsia="仿宋" w:hAnsi="仿宋" w:cs="仿宋"/>
          <w:color w:val="000000"/>
          <w:sz w:val="30"/>
        </w:rPr>
        <w:t>五、一般公共预算支出情况表</w:t>
      </w:r>
    </w:p>
    <w:p w14:paraId="715877D2" w14:textId="77777777" w:rsidR="00E40648" w:rsidRDefault="00B24358">
      <w:pPr>
        <w:spacing w:line="560" w:lineRule="exact"/>
        <w:ind w:firstLine="900"/>
      </w:pPr>
      <w:r>
        <w:rPr>
          <w:rFonts w:ascii="仿宋" w:eastAsia="仿宋" w:hAnsi="仿宋" w:cs="仿宋"/>
          <w:color w:val="000000"/>
          <w:sz w:val="30"/>
        </w:rPr>
        <w:t>六、一般公共预算基本支出情况表</w:t>
      </w:r>
    </w:p>
    <w:p w14:paraId="69F99EA9" w14:textId="77777777" w:rsidR="00E40648" w:rsidRDefault="00B24358">
      <w:pPr>
        <w:spacing w:line="560" w:lineRule="exact"/>
        <w:ind w:firstLine="900"/>
      </w:pPr>
      <w:r>
        <w:rPr>
          <w:rFonts w:ascii="仿宋" w:eastAsia="仿宋" w:hAnsi="仿宋" w:cs="仿宋"/>
          <w:color w:val="000000"/>
          <w:sz w:val="30"/>
        </w:rPr>
        <w:t>七、一般公共预算“三公”经费支出情况表</w:t>
      </w:r>
    </w:p>
    <w:p w14:paraId="28489E79" w14:textId="77777777" w:rsidR="00E40648" w:rsidRDefault="00B24358">
      <w:pPr>
        <w:spacing w:line="560" w:lineRule="exact"/>
        <w:ind w:firstLine="900"/>
      </w:pPr>
      <w:r>
        <w:rPr>
          <w:rFonts w:ascii="仿宋" w:eastAsia="仿宋" w:hAnsi="仿宋" w:cs="仿宋"/>
          <w:color w:val="000000"/>
          <w:sz w:val="30"/>
        </w:rPr>
        <w:lastRenderedPageBreak/>
        <w:t>八、政府性基金预算支出情况表</w:t>
      </w:r>
    </w:p>
    <w:p w14:paraId="04F46313" w14:textId="77777777" w:rsidR="00E40648" w:rsidRDefault="00B24358">
      <w:pPr>
        <w:spacing w:line="560" w:lineRule="exact"/>
        <w:ind w:firstLine="900"/>
      </w:pPr>
      <w:r>
        <w:rPr>
          <w:rFonts w:ascii="仿宋" w:eastAsia="仿宋" w:hAnsi="仿宋" w:cs="仿宋"/>
          <w:color w:val="000000"/>
          <w:sz w:val="30"/>
        </w:rPr>
        <w:t>九、国有资本经营预算支出情况表</w:t>
      </w:r>
    </w:p>
    <w:p w14:paraId="2E897E96" w14:textId="77777777" w:rsidR="00E40648" w:rsidRDefault="00B24358">
      <w:pPr>
        <w:spacing w:line="560" w:lineRule="exact"/>
        <w:ind w:firstLine="900"/>
      </w:pPr>
      <w:r>
        <w:rPr>
          <w:rFonts w:ascii="仿宋" w:eastAsia="仿宋" w:hAnsi="仿宋" w:cs="仿宋"/>
          <w:color w:val="000000"/>
          <w:sz w:val="30"/>
        </w:rPr>
        <w:t>十、项目支出表</w:t>
      </w:r>
    </w:p>
    <w:p w14:paraId="6BC9FA2F" w14:textId="77777777" w:rsidR="00E40648" w:rsidRDefault="00B24358">
      <w:pPr>
        <w:spacing w:line="560" w:lineRule="exact"/>
        <w:ind w:firstLine="900"/>
      </w:pPr>
      <w:r>
        <w:rPr>
          <w:rFonts w:ascii="仿宋" w:eastAsia="仿宋" w:hAnsi="仿宋" w:cs="仿宋"/>
          <w:color w:val="000000"/>
          <w:sz w:val="30"/>
        </w:rPr>
        <w:t>十一、关于空表的说明</w:t>
      </w:r>
    </w:p>
    <w:p w14:paraId="3E8FD808" w14:textId="77777777" w:rsidR="00E40648" w:rsidRDefault="00B24358">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2F5F8798" w14:textId="77777777" w:rsidR="00E40648" w:rsidRDefault="00B24358">
      <w:pPr>
        <w:spacing w:line="560" w:lineRule="exact"/>
        <w:ind w:firstLine="600"/>
      </w:pPr>
      <w:r>
        <w:rPr>
          <w:rFonts w:ascii="黑体" w:eastAsia="黑体" w:hAnsi="黑体" w:cs="黑体"/>
          <w:b/>
          <w:color w:val="353232"/>
          <w:sz w:val="30"/>
        </w:rPr>
        <w:t>一、主要职责</w:t>
      </w:r>
    </w:p>
    <w:p w14:paraId="402E65C4" w14:textId="77777777" w:rsidR="00B56F52"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区市场监管局贯彻落实党中央、市委、区委关于市场监督管理工作的方针政策和决策部署，在履行职责过程中坚持和加强党对市场监督管理工作的集中统一领导。主要职责是：</w:t>
      </w:r>
    </w:p>
    <w:p w14:paraId="15FEDD08" w14:textId="77777777" w:rsidR="00B56F52" w:rsidRDefault="00B24358" w:rsidP="00B56F52">
      <w:pPr>
        <w:spacing w:line="560" w:lineRule="exact"/>
        <w:ind w:firstLine="600"/>
        <w:rPr>
          <w:rFonts w:ascii="仿宋" w:eastAsia="仿宋" w:hAnsi="仿宋" w:cs="仿宋"/>
          <w:color w:val="000000"/>
          <w:sz w:val="30"/>
        </w:rPr>
      </w:pPr>
      <w:r>
        <w:rPr>
          <w:rFonts w:ascii="仿宋" w:eastAsia="仿宋" w:hAnsi="仿宋" w:cs="仿宋"/>
          <w:color w:val="000000"/>
          <w:sz w:val="30"/>
        </w:rPr>
        <w:t>1、负责市场综合监督管理，贯彻执行市场监督管理方面法律、法规、规章和政策、标准，组织实施质量强区战略、质量立区战略和食品安全战略、标准化战略，拟订并组织实施有关市场监管规划、计划，规范和维护市场秩序，营造诚实守信、公平竞争的市场环境。</w:t>
      </w:r>
    </w:p>
    <w:p w14:paraId="30C981AF" w14:textId="3F074C17" w:rsidR="00D417EF" w:rsidRDefault="00B24358" w:rsidP="00B56F52">
      <w:pPr>
        <w:spacing w:line="560" w:lineRule="exact"/>
        <w:ind w:firstLine="600"/>
        <w:rPr>
          <w:rFonts w:ascii="仿宋" w:eastAsia="仿宋" w:hAnsi="仿宋" w:cs="仿宋"/>
          <w:color w:val="000000"/>
          <w:sz w:val="30"/>
        </w:rPr>
      </w:pPr>
      <w:r>
        <w:rPr>
          <w:rFonts w:ascii="仿宋" w:eastAsia="仿宋" w:hAnsi="仿宋" w:cs="仿宋"/>
          <w:color w:val="000000"/>
          <w:sz w:val="30"/>
        </w:rPr>
        <w:t>2、负责本区市场主体统一登记注册。负责本区各类市场主体的登记注册和监督管理工作。建立市场主体信息公示和共享机制，依法公示和共享有关信息，加强信用监管，推动市场主体信用体系建设。</w:t>
      </w:r>
    </w:p>
    <w:p w14:paraId="3D80F31C"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3、负责组织实施和指导本区市场监管综合执法工作。指导区市场监管综合执法队伍整合和建设，推动实行统一的市场监管，组织查处违法案件，规范市场监管行政执法行为。</w:t>
      </w:r>
    </w:p>
    <w:p w14:paraId="16FB5F87"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4、负责依法对价格活动进行监督检查，规范市场价格秩序。对违反价格管理的违法违规行为进行处罚。处理价格举报、投诉。贯彻落实公平竞争审查制度。</w:t>
      </w:r>
    </w:p>
    <w:p w14:paraId="448C762A"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5、负责本区反垄断统一执法。依法依授权对经营者集中行为进行反垄断审查，负责垄断协议、滥用市场支配地位和滥用行政权力排除、限制竞争等反垄断执法工作。</w:t>
      </w:r>
    </w:p>
    <w:p w14:paraId="5B9E04F8"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6、负责监督管理市场秩序。依法监督管理市场交易、网络</w:t>
      </w:r>
      <w:r>
        <w:rPr>
          <w:rFonts w:ascii="仿宋" w:eastAsia="仿宋" w:hAnsi="仿宋" w:cs="仿宋"/>
          <w:color w:val="000000"/>
          <w:sz w:val="30"/>
        </w:rPr>
        <w:lastRenderedPageBreak/>
        <w:t>商品交易及有关服务的行为。依法实施合同、拍卖行为监督管理，管理动产抵押物登记工作。查处不正当竞争、违法直销、传销、侵犯商标专利知识产权和制售假冒伪劣行为。指导广告业发展，监督管理广告活动。组织查处无照生产经营和相关无证生产经营行为。指导区消费者协会开展消费维权工作。承担区打击侵犯知识产权和制售假冒伪劣商品领导小组日常工作。</w:t>
      </w:r>
    </w:p>
    <w:p w14:paraId="58318485"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7、负责宏观质量管理。拟订并组织实施本区质量发 展的制度措施，统筹本区质量基础设施建设与应用，依法监督管理工程设备质量监理工作，组织质量事故调查，组织实施缺陷产品召回制度，监督管理产品防伪工作。</w:t>
      </w:r>
    </w:p>
    <w:p w14:paraId="7EB5C7C4" w14:textId="77777777" w:rsidR="00D417EF" w:rsidRDefault="00B24358">
      <w:pPr>
        <w:spacing w:line="560" w:lineRule="exact"/>
        <w:ind w:firstLine="600"/>
        <w:rPr>
          <w:rFonts w:ascii="仿宋" w:eastAsia="仿宋" w:hAnsi="仿宋" w:cs="仿宋"/>
          <w:color w:val="000000"/>
          <w:sz w:val="30"/>
        </w:rPr>
      </w:pPr>
      <w:r>
        <w:rPr>
          <w:rFonts w:ascii="仿宋" w:eastAsia="仿宋" w:hAnsi="仿宋" w:cs="仿宋"/>
          <w:color w:val="000000"/>
          <w:sz w:val="30"/>
        </w:rPr>
        <w:t>8、负责产品质量安全监督管理。管理产品质量安全风险监控、监督抽检工作。组织实施质量分级制度、质量安全追溯制度。负责工业产品生产许可管理并实施监督。</w:t>
      </w:r>
    </w:p>
    <w:p w14:paraId="1EBDA829"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9、负责特种设备安全监督管理。综合管理特种设备 安全监察、监督工作，监督检查高耗能特种设备节能标准和 </w:t>
      </w:r>
      <w:r w:rsidR="00D417EF">
        <w:rPr>
          <w:rFonts w:ascii="仿宋" w:eastAsia="仿宋" w:hAnsi="仿宋" w:cs="仿宋"/>
          <w:color w:val="000000"/>
          <w:sz w:val="30"/>
        </w:rPr>
        <w:t>锅炉环境保护标准的执行情况。组织特种设备一般安全事故调查工</w:t>
      </w:r>
      <w:r w:rsidR="00D417EF">
        <w:rPr>
          <w:rFonts w:ascii="仿宋" w:eastAsia="仿宋" w:hAnsi="仿宋" w:cs="仿宋" w:hint="eastAsia"/>
          <w:color w:val="000000"/>
          <w:sz w:val="30"/>
        </w:rPr>
        <w:t>作。</w:t>
      </w:r>
    </w:p>
    <w:p w14:paraId="6CE8ED68"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10、负责食品安全监督管理综合协调。组织制定本区食品安全重大政策并组织实施，负责食品安全应急体系建设，组织和指导重大食品安全事件应急处置和调查处理工作。建立健全食品安全重要信息直报制度。承担天津市西青区食品安全委员会日常工作。</w:t>
      </w:r>
    </w:p>
    <w:p w14:paraId="3EE897AE"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11、负责食品安全监督管理。建立本区覆盖食品生产、流通、消费全过程的监督检查制度和隐患排查治理机制并组织实施，防范区域性、系统性食品安全风险。推动建立食品生产经</w:t>
      </w:r>
      <w:r>
        <w:rPr>
          <w:rFonts w:ascii="仿宋" w:eastAsia="仿宋" w:hAnsi="仿宋" w:cs="仿宋"/>
          <w:color w:val="000000"/>
          <w:sz w:val="30"/>
        </w:rPr>
        <w:lastRenderedPageBreak/>
        <w:t>营者落实主体责任的机制，健全食品安全追溯体系。组织开展食品安全监督抽检、风险监测、检查处置和风险预警、风险交流工作，定期发布相关信息。组织实施特殊食品的监督管理。负责食盐生产及经营的质量安全监督管理工作。</w:t>
      </w:r>
    </w:p>
    <w:p w14:paraId="7C0FD370"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12、负责统一管理计量工作。推行法定计量单位和国家计量制度，落实地方计量检定规程和计量技术规范，依法管理计量器具及量值传递和比对工作，规范、监督商品量和市场计量行为。</w:t>
      </w:r>
    </w:p>
    <w:p w14:paraId="062F58BE"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13、负责统一管理标准化工作。建立标准实施信息 反馈和评估机制并组织实施。依法协调指导和监督团体标准、企业标准制定工作。负责各类市场主体统一社会信用代码相关工作。负责商品条码管理工作。</w:t>
      </w:r>
    </w:p>
    <w:p w14:paraId="616C179C"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14、负责本区检验检测机构监督管理工作。组织推进检验检测机构改革，规范检测检验市场，完善检验检测体系，指导协调本区检验检测行业发展。</w:t>
      </w:r>
    </w:p>
    <w:p w14:paraId="0AD2AA6B"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15、负责统一管理、监督和综合协调全区认证认可工作。负责组织实施认证认可和合格评定监督管理工作。</w:t>
      </w:r>
    </w:p>
    <w:p w14:paraId="4EE0902E"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16、组织实施知识产权创造、保护和运用的管理政策和制度。负责保护知识产权，组织实施商标、专利执法工作。</w:t>
      </w:r>
    </w:p>
    <w:p w14:paraId="18080F3A"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17、负责药品零售、医疗器械经营的许可、检查</w:t>
      </w:r>
      <w:r w:rsidR="00D417EF">
        <w:rPr>
          <w:rFonts w:ascii="仿宋" w:eastAsia="仿宋" w:hAnsi="仿宋" w:cs="仿宋"/>
          <w:color w:val="000000"/>
          <w:sz w:val="30"/>
        </w:rPr>
        <w:t>和处罚，以及化妆品经营和药品、医疗器械使用环节质量的检查和处</w:t>
      </w:r>
      <w:r w:rsidR="00D417EF">
        <w:rPr>
          <w:rFonts w:ascii="仿宋" w:eastAsia="仿宋" w:hAnsi="仿宋" w:cs="仿宋" w:hint="eastAsia"/>
          <w:color w:val="000000"/>
          <w:sz w:val="30"/>
        </w:rPr>
        <w:t>罚。</w:t>
      </w:r>
    </w:p>
    <w:p w14:paraId="083CE7BC"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18、负责本区市场监督管理相关的新闻宣传、教育培训、对外合作交流和信息发布工作。</w:t>
      </w:r>
    </w:p>
    <w:p w14:paraId="2392CB99"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19、负责本领域安全生产监督管理工作。</w:t>
      </w:r>
    </w:p>
    <w:p w14:paraId="51997E2E"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20、配合有关部门推动招商引资工作。</w:t>
      </w:r>
    </w:p>
    <w:p w14:paraId="088A7D23"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21、负责区市场监管体系人才队伍建设工作。</w:t>
      </w:r>
    </w:p>
    <w:p w14:paraId="43EF53B3"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22、完成区委、区政府交办的其他事项。</w:t>
      </w:r>
    </w:p>
    <w:p w14:paraId="4F6AC568"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23、职能转变。</w:t>
      </w:r>
    </w:p>
    <w:p w14:paraId="4E23F648"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大力推进质量提升。加强全面质量管理和本区质量基础设施体系建设，完善激励制度，推进品牌建设，加快实施企业产品质量安全事故强制报名制度及经营者首问和赔偿先付制度推广先进的质量管理办法，对标国际提高本区标准整体水平，以标准化促进质量强区发展。</w:t>
      </w:r>
    </w:p>
    <w:p w14:paraId="54ABF748"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（2）深入推进简政放权。深化商业制度改革，全面落实企业名称核准、市场主体退出等改革，推进证照分离改革，压缩企业开办时间。</w:t>
      </w:r>
    </w:p>
    <w:p w14:paraId="643A57CD"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3）加强事中事后监管。加强反不正当竞争执法，强化依据标准监管、强化风险管理，全面推行“双随机、一公开”和“互联网+监管”，加快推进监管信息共享，构建以信息公示为手段、以信用监管为核心的新型市场监管体系。</w:t>
      </w:r>
    </w:p>
    <w:p w14:paraId="2D473ABA"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24、有关职责分工</w:t>
      </w:r>
    </w:p>
    <w:p w14:paraId="20A4B096"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1）与公安西青分局的有关职责分工。区市场监督管理局与公安西青分局建立行政执法和司法刑事工作衔接制度。区市场监督管理局发现有违法行为涉嫌犯罪的，应当按照有关规定及时移交公安机关，公安机关应迅速进行审查，并依法做出立案或者不予立案的决定。公安机关依法提请市场监督管理局做出检验、鉴定认定等协助的，区市场监督管理局应当予以协助配合。</w:t>
      </w:r>
    </w:p>
    <w:p w14:paraId="69173B1D"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2）与区农业农村委员会的有关职责分工。一是区农业农村委员会负责我区食用农产品从种植养殖环节到进入批发、零售市场或者生产加工企业前的质量安全监督管理。食用农产品进入批发、零售市场或者生产加工企业后，由市场监督管理局监督管理。二是区农业农村委员会负责我区动植物疫病防控、畜禽屠宰环节、生鲜乳品收购环节质量安全的监督管理。三是两部门建立食品安全产地准出、市场准入和追溯机制、加强协调配合和工作衔接、形成管理合力。</w:t>
      </w:r>
    </w:p>
    <w:p w14:paraId="3B43B275"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3）与区卫生健康委员会的有关职责分工。一是区卫生健康委员会负责我区食品安全风险监测工作，会同区市场监督管理局等部门制定、实施本区食品安全风险监测方案。通过对食品安全风险监测发现可能存在风险隐患的，及时将相关信息通报市场监督管理局，并报告区政府和市卫生健康委员会，区市场监督管理局应当组织开展进一步调查。二是区委健康委员会会同区市场监督管理局等部门对食品安全国家标准和地方标准的执行情况进行跟踪评价，并依据评价结果及时反馈食品安全标准修订机关。</w:t>
      </w:r>
    </w:p>
    <w:p w14:paraId="2F221410" w14:textId="77777777" w:rsid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4）与区农业农村委员会、区发改委的有关职责分工。区农业农村委员会负责粮食生产环节的质量安全监管。区发改委负责粮食（含食用油）收购、储存、运输环节和政策性用粮购销活动中的粮食质量安全和原粮卫生的监督管理。区市场监督管理局负责粮食（含食用油）进入批发、零售市场和生产加工企业后的质量安全监督管理。</w:t>
      </w:r>
    </w:p>
    <w:p w14:paraId="49687052" w14:textId="77777777" w:rsidR="00E40648" w:rsidRPr="00D417EF" w:rsidRDefault="00B24358" w:rsidP="00D417EF">
      <w:pPr>
        <w:spacing w:line="560" w:lineRule="exact"/>
        <w:ind w:firstLine="600"/>
        <w:rPr>
          <w:rFonts w:ascii="仿宋" w:eastAsia="仿宋" w:hAnsi="仿宋" w:cs="仿宋"/>
          <w:color w:val="000000"/>
          <w:sz w:val="30"/>
        </w:rPr>
      </w:pPr>
      <w:r>
        <w:rPr>
          <w:rFonts w:ascii="仿宋" w:eastAsia="仿宋" w:hAnsi="仿宋" w:cs="仿宋"/>
          <w:color w:val="000000"/>
          <w:sz w:val="30"/>
        </w:rPr>
        <w:t>（5）与市药品监督管理局有关的职责分工。市药品监督管</w:t>
      </w:r>
      <w:r>
        <w:rPr>
          <w:rFonts w:ascii="仿宋" w:eastAsia="仿宋" w:hAnsi="仿宋" w:cs="仿宋"/>
          <w:color w:val="000000"/>
          <w:sz w:val="30"/>
        </w:rPr>
        <w:lastRenderedPageBreak/>
        <w:t>理局负责药品、医疗器械和化妆品生产环节的许可、检查和处罚、以及药品批发许可、零售连锁总部许可、互联网销售第三方平台备案及检查和处罚。区市场监督管理局负责药品零售、医疗器械经营的许可、检查和处罚，以及化妆品经营和药品、医疗器械使用环节质量的检查监督管理。</w:t>
      </w:r>
    </w:p>
    <w:p w14:paraId="46A9D0B5" w14:textId="77777777" w:rsidR="00E40648" w:rsidRDefault="00B24358">
      <w:pPr>
        <w:spacing w:line="560" w:lineRule="exact"/>
        <w:ind w:firstLine="600"/>
      </w:pPr>
      <w:r>
        <w:rPr>
          <w:rFonts w:ascii="黑体" w:eastAsia="黑体" w:hAnsi="黑体" w:cs="黑体"/>
          <w:b/>
          <w:color w:val="000000"/>
          <w:sz w:val="30"/>
        </w:rPr>
        <w:t>二、机构设置情况</w:t>
      </w:r>
    </w:p>
    <w:p w14:paraId="7BB87E33" w14:textId="77777777" w:rsidR="00E40648" w:rsidRDefault="00B24358">
      <w:pPr>
        <w:spacing w:line="560" w:lineRule="exact"/>
        <w:ind w:firstLine="600"/>
      </w:pPr>
      <w:r>
        <w:rPr>
          <w:rFonts w:ascii="仿宋" w:eastAsia="仿宋" w:hAnsi="仿宋" w:cs="仿宋"/>
          <w:color w:val="000000"/>
          <w:sz w:val="30"/>
        </w:rPr>
        <w:t>天津市西青区市场监督管理局部门内设14个职能科室；下辖7个预算单位。</w:t>
      </w:r>
    </w:p>
    <w:p w14:paraId="6FCE718C" w14:textId="77777777" w:rsidR="00E40648" w:rsidRDefault="00B24358">
      <w:pPr>
        <w:spacing w:line="560" w:lineRule="exact"/>
        <w:ind w:firstLine="600"/>
      </w:pPr>
      <w:r>
        <w:rPr>
          <w:rFonts w:ascii="仿宋" w:eastAsia="仿宋" w:hAnsi="仿宋" w:cs="仿宋"/>
          <w:color w:val="000000"/>
          <w:sz w:val="30"/>
        </w:rPr>
        <w:t>纳入天津市西青区市场监督管理局部门2025年部门预算编制范围的预算单位包括：</w:t>
      </w:r>
    </w:p>
    <w:p w14:paraId="5DE6EDFC" w14:textId="77777777" w:rsidR="00E40648" w:rsidRDefault="00B24358">
      <w:pPr>
        <w:spacing w:line="560" w:lineRule="exact"/>
        <w:ind w:firstLine="600"/>
      </w:pPr>
      <w:r>
        <w:rPr>
          <w:rFonts w:ascii="仿宋" w:eastAsia="仿宋" w:hAnsi="仿宋" w:cs="仿宋"/>
          <w:color w:val="000000"/>
          <w:sz w:val="30"/>
        </w:rPr>
        <w:t>1.天津市西青区市场监督管理局</w:t>
      </w:r>
    </w:p>
    <w:p w14:paraId="7F44CC90" w14:textId="77777777" w:rsidR="00E40648" w:rsidRDefault="00B24358">
      <w:pPr>
        <w:spacing w:line="560" w:lineRule="exact"/>
        <w:ind w:firstLine="600"/>
      </w:pPr>
      <w:r>
        <w:rPr>
          <w:rFonts w:ascii="仿宋" w:eastAsia="仿宋" w:hAnsi="仿宋" w:cs="仿宋"/>
          <w:color w:val="000000"/>
          <w:sz w:val="30"/>
        </w:rPr>
        <w:t>2.天津市西青区计量检定所</w:t>
      </w:r>
    </w:p>
    <w:p w14:paraId="0D689F5C" w14:textId="77777777" w:rsidR="00E40648" w:rsidRDefault="00B24358">
      <w:pPr>
        <w:spacing w:line="560" w:lineRule="exact"/>
        <w:ind w:firstLine="600"/>
      </w:pPr>
      <w:r>
        <w:rPr>
          <w:rFonts w:ascii="仿宋" w:eastAsia="仿宋" w:hAnsi="仿宋" w:cs="仿宋"/>
          <w:color w:val="000000"/>
          <w:sz w:val="30"/>
        </w:rPr>
        <w:t>3.天津市西青区产品质量监督检验所</w:t>
      </w:r>
    </w:p>
    <w:p w14:paraId="01B64765" w14:textId="77777777" w:rsidR="00E40648" w:rsidRDefault="00B24358">
      <w:pPr>
        <w:spacing w:line="560" w:lineRule="exact"/>
        <w:ind w:firstLine="600"/>
      </w:pPr>
      <w:r>
        <w:rPr>
          <w:rFonts w:ascii="仿宋" w:eastAsia="仿宋" w:hAnsi="仿宋" w:cs="仿宋"/>
          <w:color w:val="000000"/>
          <w:sz w:val="30"/>
        </w:rPr>
        <w:t>4.天津市西青区市场监督管理局12315投诉举报中心</w:t>
      </w:r>
    </w:p>
    <w:p w14:paraId="48DD9F4B" w14:textId="77777777" w:rsidR="00E40648" w:rsidRDefault="00B24358">
      <w:pPr>
        <w:spacing w:line="560" w:lineRule="exact"/>
        <w:ind w:firstLine="600"/>
      </w:pPr>
      <w:r>
        <w:rPr>
          <w:rFonts w:ascii="仿宋" w:eastAsia="仿宋" w:hAnsi="仿宋" w:cs="仿宋"/>
          <w:color w:val="000000"/>
          <w:sz w:val="30"/>
        </w:rPr>
        <w:t>5.天津市西青区个体民营企业协会</w:t>
      </w:r>
    </w:p>
    <w:p w14:paraId="7934E386" w14:textId="77777777" w:rsidR="00E40648" w:rsidRDefault="00B24358">
      <w:pPr>
        <w:spacing w:line="560" w:lineRule="exact"/>
        <w:ind w:firstLine="600"/>
      </w:pPr>
      <w:r>
        <w:rPr>
          <w:rFonts w:ascii="仿宋" w:eastAsia="仿宋" w:hAnsi="仿宋" w:cs="仿宋"/>
          <w:color w:val="000000"/>
          <w:sz w:val="30"/>
        </w:rPr>
        <w:t>6.天津市西青区消费者协会</w:t>
      </w:r>
    </w:p>
    <w:p w14:paraId="7D09965E" w14:textId="77777777" w:rsidR="00E40648" w:rsidRDefault="00B24358">
      <w:pPr>
        <w:spacing w:line="560" w:lineRule="exact"/>
        <w:ind w:firstLine="600"/>
      </w:pPr>
      <w:r>
        <w:rPr>
          <w:rFonts w:ascii="仿宋" w:eastAsia="仿宋" w:hAnsi="仿宋" w:cs="仿宋"/>
          <w:color w:val="000000"/>
          <w:sz w:val="30"/>
        </w:rPr>
        <w:t>7.天津市西青区市场监管综合行政执法支队</w:t>
      </w:r>
    </w:p>
    <w:p w14:paraId="73DA9CBD" w14:textId="77777777" w:rsidR="00E40648" w:rsidRDefault="00B24358">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24BC03F6" w14:textId="77777777" w:rsidR="00E40648" w:rsidRDefault="00B24358">
      <w:pPr>
        <w:spacing w:line="560" w:lineRule="exact"/>
        <w:ind w:firstLine="600"/>
      </w:pPr>
      <w:r>
        <w:rPr>
          <w:rFonts w:ascii="黑体" w:eastAsia="黑体" w:hAnsi="黑体" w:cs="黑体"/>
          <w:b/>
          <w:color w:val="000000"/>
          <w:sz w:val="30"/>
        </w:rPr>
        <w:t>一、关于收支总体情况表的说明</w:t>
      </w:r>
    </w:p>
    <w:p w14:paraId="5BF0AD3D" w14:textId="77777777" w:rsidR="00E40648" w:rsidRDefault="00B24358">
      <w:pPr>
        <w:spacing w:line="560" w:lineRule="exact"/>
        <w:ind w:firstLine="600"/>
      </w:pPr>
      <w:r>
        <w:rPr>
          <w:rFonts w:ascii="仿宋" w:eastAsia="仿宋" w:hAnsi="仿宋" w:cs="仿宋"/>
          <w:color w:val="000000"/>
          <w:sz w:val="30"/>
        </w:rPr>
        <w:t>按照综合预算的原则，天津市西青区市场监督管理局部门所有收入和支出均纳入部门预算管理。收入包括：一般公共预算拨款收入7,631.81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4.04万元、社会保障和就业支出798.16万元、一般公共服务支出6,467.30万元、卫生健康支出362.31万元。天津市西青区市场监督管理局部门2025年收支总预算7,631.81万元。</w:t>
      </w:r>
    </w:p>
    <w:p w14:paraId="3B32D1D4" w14:textId="77777777" w:rsidR="00E40648" w:rsidRDefault="00B24358">
      <w:pPr>
        <w:spacing w:line="560" w:lineRule="exact"/>
        <w:ind w:firstLine="600"/>
      </w:pPr>
      <w:r>
        <w:rPr>
          <w:rFonts w:ascii="黑体" w:eastAsia="黑体" w:hAnsi="黑体" w:cs="黑体"/>
          <w:b/>
          <w:color w:val="000000"/>
          <w:sz w:val="30"/>
        </w:rPr>
        <w:t>二、关于收入总体情况表的说明</w:t>
      </w:r>
    </w:p>
    <w:p w14:paraId="27A89599" w14:textId="77777777" w:rsidR="00E40648" w:rsidRDefault="00B24358">
      <w:pPr>
        <w:spacing w:line="560" w:lineRule="exact"/>
        <w:ind w:firstLine="600"/>
      </w:pPr>
      <w:r>
        <w:rPr>
          <w:rFonts w:ascii="仿宋" w:eastAsia="仿宋" w:hAnsi="仿宋" w:cs="仿宋"/>
          <w:color w:val="000000"/>
          <w:sz w:val="30"/>
        </w:rPr>
        <w:t>天津市西青区市场监督管理局部门2025年部门预算收入7,631.81万元，与上年预算相比增加32.80万元，主要原因是人员变动使预算发生相应变动。其中：上年结转结余0万元，占0%；一般公共预算7,631.81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097FD16C" w14:textId="77777777" w:rsidR="00E40648" w:rsidRDefault="00B24358">
      <w:pPr>
        <w:spacing w:line="560" w:lineRule="exact"/>
        <w:ind w:firstLine="600"/>
      </w:pPr>
      <w:r>
        <w:rPr>
          <w:rFonts w:ascii="黑体" w:eastAsia="黑体" w:hAnsi="黑体" w:cs="黑体"/>
          <w:b/>
          <w:color w:val="000000"/>
          <w:sz w:val="30"/>
        </w:rPr>
        <w:t>三、关于支出总体情况表的说明</w:t>
      </w:r>
    </w:p>
    <w:p w14:paraId="0791D09D" w14:textId="77777777" w:rsidR="00E40648" w:rsidRDefault="00B24358">
      <w:pPr>
        <w:spacing w:line="560" w:lineRule="exact"/>
        <w:ind w:firstLine="600"/>
      </w:pPr>
      <w:r>
        <w:rPr>
          <w:rFonts w:ascii="仿宋" w:eastAsia="仿宋" w:hAnsi="仿宋" w:cs="仿宋"/>
          <w:color w:val="000000"/>
          <w:sz w:val="30"/>
        </w:rPr>
        <w:t>天津市西青区市场监督管理局部门2025年支出预算7,631.81万元，与上年预算相比增加32.80万元，主要原因是</w:t>
      </w:r>
      <w:r>
        <w:rPr>
          <w:rFonts w:ascii="仿宋" w:eastAsia="仿宋" w:hAnsi="仿宋" w:cs="仿宋"/>
          <w:color w:val="000000"/>
          <w:sz w:val="30"/>
        </w:rPr>
        <w:lastRenderedPageBreak/>
        <w:t>人员变动使预算发生相应变动。其中：基本支出7,556.81万元，占99.02%；项目支出75.00万元，占0.98%；事业单位经营支出0万元，占0%；上缴上级支出0万元，占0%；对附属单位补助支出0万元，占0%。</w:t>
      </w:r>
    </w:p>
    <w:p w14:paraId="7FFCC93C" w14:textId="77777777" w:rsidR="00E40648" w:rsidRDefault="00B24358">
      <w:pPr>
        <w:spacing w:line="560" w:lineRule="exact"/>
        <w:ind w:firstLine="600"/>
      </w:pPr>
      <w:r>
        <w:rPr>
          <w:rFonts w:ascii="黑体" w:eastAsia="黑体" w:hAnsi="黑体" w:cs="黑体"/>
          <w:b/>
          <w:color w:val="000000"/>
          <w:sz w:val="30"/>
        </w:rPr>
        <w:t>四、关于财政拨款收支总体情况表的说明</w:t>
      </w:r>
    </w:p>
    <w:p w14:paraId="1FC0F776" w14:textId="77777777" w:rsidR="00E40648" w:rsidRDefault="00B24358">
      <w:pPr>
        <w:spacing w:line="560" w:lineRule="exact"/>
        <w:ind w:firstLine="600"/>
      </w:pPr>
      <w:r>
        <w:rPr>
          <w:rFonts w:ascii="仿宋" w:eastAsia="仿宋" w:hAnsi="仿宋" w:cs="仿宋"/>
          <w:color w:val="000000"/>
          <w:sz w:val="30"/>
        </w:rPr>
        <w:t>天津市西青区市场监督管理局部门2025年财政拨款收入预算7,631.81万元，与上年预算相比增加32.80万元，主要原因是人员变动使预算发生相应变动。收入包括：一般公共预算拨款收入7,631.81万元、政府性基金预算拨款收入0万元、上年财政结转结余0万元、国有资本经营预算拨款收入0万元、2025年财政拨款支出预算7,631.81万元，与上年预算相比增加32.80万元，主要原因是支出包括：一般公共服务支出6,467.30万元 ；教育支出4.04万元 ；社会保障和就业支出798.16万元 ；卫生健康支出362.31万元。</w:t>
      </w:r>
    </w:p>
    <w:p w14:paraId="48E23CAA" w14:textId="77777777" w:rsidR="00E40648" w:rsidRDefault="00B24358">
      <w:pPr>
        <w:spacing w:line="560" w:lineRule="exact"/>
        <w:ind w:firstLine="600"/>
      </w:pPr>
      <w:r>
        <w:rPr>
          <w:rFonts w:ascii="黑体" w:eastAsia="黑体" w:hAnsi="黑体" w:cs="黑体"/>
          <w:b/>
          <w:color w:val="000000"/>
          <w:sz w:val="30"/>
        </w:rPr>
        <w:t>五、关于一般公共预算支出情况表的说明</w:t>
      </w:r>
    </w:p>
    <w:p w14:paraId="2A3E1496" w14:textId="77777777" w:rsidR="00E40648" w:rsidRDefault="00B24358">
      <w:pPr>
        <w:spacing w:line="560" w:lineRule="exact"/>
        <w:ind w:firstLine="600"/>
      </w:pPr>
      <w:r>
        <w:rPr>
          <w:rFonts w:ascii="楷体" w:eastAsia="楷体" w:hAnsi="楷体" w:cs="楷体"/>
          <w:b/>
          <w:color w:val="000000"/>
          <w:sz w:val="30"/>
        </w:rPr>
        <w:t>（一）总体情况</w:t>
      </w:r>
    </w:p>
    <w:p w14:paraId="2AA87544" w14:textId="77777777" w:rsidR="00E40648" w:rsidRDefault="00B24358">
      <w:pPr>
        <w:spacing w:line="560" w:lineRule="exact"/>
        <w:ind w:firstLine="600"/>
      </w:pPr>
      <w:r>
        <w:rPr>
          <w:rFonts w:ascii="仿宋" w:eastAsia="仿宋" w:hAnsi="仿宋" w:cs="仿宋"/>
          <w:color w:val="000000"/>
          <w:sz w:val="30"/>
        </w:rPr>
        <w:t>天津市西青区市场监督管理局部门2025年一般公共预算支出7,631.81万元(上年7599.01万元），与上年预算相比增加32.80万元，主要原因是人员变动使预算发生相应变动。</w:t>
      </w:r>
    </w:p>
    <w:p w14:paraId="1BA78314" w14:textId="77777777" w:rsidR="00E40648" w:rsidRDefault="00B24358">
      <w:pPr>
        <w:spacing w:line="560" w:lineRule="exact"/>
        <w:ind w:firstLine="600"/>
      </w:pPr>
      <w:r>
        <w:rPr>
          <w:rFonts w:ascii="楷体" w:eastAsia="楷体" w:hAnsi="楷体" w:cs="楷体"/>
          <w:b/>
          <w:color w:val="000000"/>
          <w:sz w:val="30"/>
        </w:rPr>
        <w:t>（二）具体情况</w:t>
      </w:r>
    </w:p>
    <w:p w14:paraId="045C53C9" w14:textId="77777777" w:rsidR="00E40648" w:rsidRDefault="00B24358">
      <w:pPr>
        <w:spacing w:line="560" w:lineRule="exact"/>
        <w:ind w:firstLine="600"/>
      </w:pPr>
      <w:r>
        <w:rPr>
          <w:rFonts w:ascii="仿宋" w:eastAsia="仿宋" w:hAnsi="仿宋" w:cs="仿宋"/>
          <w:color w:val="000000"/>
          <w:sz w:val="30"/>
        </w:rPr>
        <w:t>1、“一般公共服务支出（类）”6,467.30万元，与上年预算相比增加55.96万元，主要原因是人员变动使预算发生相应变动。其中：“市场监督管理事务（款）”6,467.30万元，包括：“行政运行（市场监督管理事务）（项）”5,657.37万</w:t>
      </w:r>
      <w:r>
        <w:rPr>
          <w:rFonts w:ascii="仿宋" w:eastAsia="仿宋" w:hAnsi="仿宋" w:cs="仿宋"/>
          <w:color w:val="000000"/>
          <w:sz w:val="30"/>
        </w:rPr>
        <w:lastRenderedPageBreak/>
        <w:t>元，主要用于行政人员工资、公积金、社保及日常公用经费支出等。；“市场秩序执法（项）”65.00万元，主要用于市场监管各个项目支出。；“质量基础（项）”5.00万元，主要用于质量监督相关业务开展经费。；“事业运行（市场监督管理事务）（项）”739.93万元，主要用于事业人员工资、公积金、社保及日常公用经费支出等。。</w:t>
      </w:r>
    </w:p>
    <w:p w14:paraId="6506FE5D" w14:textId="77777777" w:rsidR="00E40648" w:rsidRDefault="00B24358">
      <w:pPr>
        <w:spacing w:line="560" w:lineRule="exact"/>
        <w:ind w:firstLine="600"/>
      </w:pPr>
      <w:r>
        <w:rPr>
          <w:rFonts w:ascii="仿宋" w:eastAsia="仿宋" w:hAnsi="仿宋" w:cs="仿宋"/>
          <w:color w:val="000000"/>
          <w:sz w:val="30"/>
        </w:rPr>
        <w:t>2、“教育支出（类）”4.04万元，与上年预算相比增加0.57万元，主要原因是人员变动使预算发生相应变动。其中：“进修及培训（款）”4.04万元，包括：“培训支出（项）”4.04万元，主要用于日常培训支出。。</w:t>
      </w:r>
    </w:p>
    <w:p w14:paraId="58592667" w14:textId="77777777" w:rsidR="00E40648" w:rsidRDefault="00B24358">
      <w:pPr>
        <w:spacing w:line="560" w:lineRule="exact"/>
        <w:ind w:firstLine="600"/>
      </w:pPr>
      <w:r>
        <w:rPr>
          <w:rFonts w:ascii="仿宋" w:eastAsia="仿宋" w:hAnsi="仿宋" w:cs="仿宋"/>
          <w:color w:val="000000"/>
          <w:sz w:val="30"/>
        </w:rPr>
        <w:t>3、“社会保障和就业支出（类）”798.16万元，与上年预算相比减少5.04万元，主要原因是人员变动使预算发生相应变动。其中：“行政事业单位养老支出（款）”798.16万元，包括：“行政单位离退休（项）”60.22万元，主要用于退休人员支出。；“事业单位离退休（项）”7.12万元，主要用于退休人员支出。；“机关事业单位基本养老保险缴费支出（项）”487.21万元，主要用于养老保险缴费。；“机关事业单位职业年金缴费支出（项）”243.60万元，主要用于职业年金缴费。。</w:t>
      </w:r>
    </w:p>
    <w:p w14:paraId="6F23177B" w14:textId="77777777" w:rsidR="00E40648" w:rsidRDefault="00B24358">
      <w:pPr>
        <w:spacing w:line="560" w:lineRule="exact"/>
        <w:ind w:firstLine="600"/>
      </w:pPr>
      <w:r>
        <w:rPr>
          <w:rFonts w:ascii="仿宋" w:eastAsia="仿宋" w:hAnsi="仿宋" w:cs="仿宋"/>
          <w:color w:val="000000"/>
          <w:sz w:val="30"/>
        </w:rPr>
        <w:t>4、“卫生健康支出（类）”362.31万元，与上年预算相比减少18.69万元，主要原因是人员变动使预算发生相应变动。其中：“行政事业单位医疗（款）”362.31万元，包括：“行政单位医疗（项）”268.19万元，主要用于医疗保险缴费。；“事业单位医疗（项）”36.31万元，主要用于医疗保险缴费。；</w:t>
      </w:r>
      <w:r>
        <w:rPr>
          <w:rFonts w:ascii="仿宋" w:eastAsia="仿宋" w:hAnsi="仿宋" w:cs="仿宋"/>
          <w:color w:val="000000"/>
          <w:sz w:val="30"/>
        </w:rPr>
        <w:lastRenderedPageBreak/>
        <w:t>“公务员医疗补助（项）”53.64万元，主要用于医疗保险缴费。；“其他行政事业单位医疗支出（项）”4.17万元，主要用于医疗保险缴费。。</w:t>
      </w:r>
    </w:p>
    <w:p w14:paraId="3048B043" w14:textId="77777777" w:rsidR="00E40648" w:rsidRDefault="00B24358">
      <w:pPr>
        <w:spacing w:line="560" w:lineRule="exact"/>
        <w:ind w:firstLine="600"/>
      </w:pPr>
      <w:r>
        <w:rPr>
          <w:rFonts w:ascii="黑体" w:eastAsia="黑体" w:hAnsi="黑体" w:cs="黑体"/>
          <w:b/>
          <w:color w:val="000000"/>
          <w:sz w:val="30"/>
        </w:rPr>
        <w:t>六、关于一般公共预算基本支出情况表的说明</w:t>
      </w:r>
    </w:p>
    <w:p w14:paraId="6F9EC770" w14:textId="77777777" w:rsidR="00E40648" w:rsidRDefault="00B24358">
      <w:pPr>
        <w:spacing w:line="560" w:lineRule="exact"/>
        <w:ind w:firstLine="600"/>
      </w:pPr>
      <w:r>
        <w:rPr>
          <w:rFonts w:ascii="仿宋" w:eastAsia="仿宋" w:hAnsi="仿宋" w:cs="仿宋"/>
          <w:color w:val="000000"/>
          <w:sz w:val="30"/>
        </w:rPr>
        <w:t>天津市西青区市场监督管理局部门2025年一般公共预算基本支出 7,556.81万元，与上年预算相比减少22.20万元，主要原因是人员变动使预算发生相应变动。其中：人员经费 6,430.20万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奖励金、其他对个人和家庭的补助等；</w:t>
      </w:r>
    </w:p>
    <w:p w14:paraId="3956105E" w14:textId="77777777" w:rsidR="00E40648" w:rsidRDefault="00B24358">
      <w:pPr>
        <w:spacing w:line="560" w:lineRule="exact"/>
        <w:ind w:firstLine="600"/>
      </w:pPr>
      <w:r>
        <w:rPr>
          <w:rFonts w:ascii="仿宋" w:eastAsia="仿宋" w:hAnsi="仿宋" w:cs="仿宋"/>
          <w:color w:val="000000"/>
          <w:sz w:val="30"/>
        </w:rPr>
        <w:t>公用经费1,126.61万元，主要包括：办公费、手续费、水费、电费、邮电费、取暖费、物业管理费、差旅费、维修（护）费、培训费、公务接待费、委托业务费、工会经费、福利费、公务用车运行维护费、其他交通费用、其他商品和服务支出、房屋建筑物购建、办公设备购置等。</w:t>
      </w:r>
    </w:p>
    <w:p w14:paraId="35BEC994" w14:textId="77777777" w:rsidR="00E40648" w:rsidRDefault="00B24358">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2025年一般公共预算“三公”经费安排34.50万元，与2024年预算相比增加0.00万元，主要原因是保持上年度经费。</w:t>
      </w:r>
    </w:p>
    <w:p w14:paraId="73480E07" w14:textId="77777777" w:rsidR="00E40648" w:rsidRDefault="00B24358">
      <w:pPr>
        <w:spacing w:line="560" w:lineRule="exact"/>
        <w:ind w:firstLine="600"/>
      </w:pPr>
      <w:r>
        <w:rPr>
          <w:rFonts w:ascii="仿宋" w:eastAsia="仿宋" w:hAnsi="仿宋" w:cs="仿宋"/>
          <w:color w:val="000000"/>
          <w:sz w:val="30"/>
        </w:rPr>
        <w:t>具体情况：</w:t>
      </w:r>
    </w:p>
    <w:p w14:paraId="2E4F0586" w14:textId="77777777" w:rsidR="00E40648" w:rsidRDefault="00B24358">
      <w:pPr>
        <w:spacing w:line="560" w:lineRule="exact"/>
        <w:ind w:firstLine="600"/>
      </w:pPr>
      <w:r>
        <w:rPr>
          <w:rFonts w:ascii="仿宋" w:eastAsia="仿宋" w:hAnsi="仿宋" w:cs="仿宋"/>
          <w:color w:val="000000"/>
          <w:sz w:val="30"/>
        </w:rPr>
        <w:t>一、2025年因公出国（境）费预算0万元，与2024年预算相比00.00万元，主要原因是未安排因公出国经费。。</w:t>
      </w:r>
    </w:p>
    <w:p w14:paraId="2893BD93" w14:textId="77777777" w:rsidR="00E40648" w:rsidRDefault="00B24358">
      <w:pPr>
        <w:spacing w:line="560" w:lineRule="exact"/>
        <w:ind w:firstLine="600"/>
      </w:pPr>
      <w:r>
        <w:rPr>
          <w:rFonts w:ascii="仿宋" w:eastAsia="仿宋" w:hAnsi="仿宋" w:cs="仿宋"/>
          <w:color w:val="000000"/>
          <w:sz w:val="30"/>
        </w:rPr>
        <w:t>二、2025年公务用车购置及运行费预算34.50万元，</w:t>
      </w:r>
    </w:p>
    <w:p w14:paraId="46DC665A" w14:textId="77777777" w:rsidR="00E40648" w:rsidRDefault="00B24358">
      <w:pPr>
        <w:spacing w:line="560" w:lineRule="exact"/>
        <w:ind w:firstLine="600"/>
      </w:pPr>
      <w:r>
        <w:rPr>
          <w:rFonts w:ascii="仿宋" w:eastAsia="仿宋" w:hAnsi="仿宋" w:cs="仿宋"/>
          <w:color w:val="000000"/>
          <w:sz w:val="30"/>
        </w:rPr>
        <w:lastRenderedPageBreak/>
        <w:t>其中公务用车运行费34.50万元，与2024年预算相比增加0万元，主要原因是保持上年度经费。；公务用车购置费0万元，与2024年预算相比增加0万元，主要原因是安排新的公务用车购置。</w:t>
      </w:r>
    </w:p>
    <w:p w14:paraId="104F5C25" w14:textId="77777777" w:rsidR="00E40648" w:rsidRDefault="00B24358">
      <w:pPr>
        <w:spacing w:line="560" w:lineRule="exact"/>
        <w:ind w:firstLine="600"/>
      </w:pPr>
      <w:r>
        <w:rPr>
          <w:rFonts w:ascii="仿宋" w:eastAsia="仿宋" w:hAnsi="仿宋" w:cs="仿宋"/>
          <w:color w:val="000000"/>
          <w:sz w:val="30"/>
        </w:rPr>
        <w:t>三、2025年公务接待费预算0万元，与2024年预算相比增加0万元，主要原因是未安排公务接待。。</w:t>
      </w:r>
    </w:p>
    <w:p w14:paraId="4F8EBBED" w14:textId="77777777" w:rsidR="00E40648" w:rsidRDefault="00B24358">
      <w:pPr>
        <w:spacing w:line="560" w:lineRule="exact"/>
        <w:ind w:firstLine="600"/>
      </w:pPr>
      <w:r>
        <w:rPr>
          <w:rFonts w:ascii="黑体" w:eastAsia="黑体" w:hAnsi="黑体" w:cs="黑体"/>
          <w:b/>
          <w:color w:val="000000"/>
          <w:sz w:val="30"/>
        </w:rPr>
        <w:t>八、关于政府性基金预算支出情况表的说明</w:t>
      </w:r>
    </w:p>
    <w:p w14:paraId="31CC4DB0" w14:textId="77777777" w:rsidR="00E40648" w:rsidRDefault="00B24358">
      <w:pPr>
        <w:spacing w:line="560" w:lineRule="exact"/>
        <w:ind w:firstLine="600"/>
      </w:pPr>
      <w:r>
        <w:rPr>
          <w:rFonts w:ascii="仿宋" w:eastAsia="仿宋" w:hAnsi="仿宋" w:cs="仿宋"/>
          <w:color w:val="000000"/>
          <w:sz w:val="30"/>
        </w:rPr>
        <w:t>2025年天津市西青区市场监督管理局部门预算中没有使用政府性基金预算安排的支出。</w:t>
      </w:r>
    </w:p>
    <w:p w14:paraId="05CD2392" w14:textId="77777777" w:rsidR="00E40648" w:rsidRDefault="00B24358">
      <w:pPr>
        <w:spacing w:line="560" w:lineRule="exact"/>
        <w:ind w:firstLine="600"/>
      </w:pPr>
      <w:r>
        <w:rPr>
          <w:rFonts w:ascii="黑体" w:eastAsia="黑体" w:hAnsi="黑体" w:cs="黑体"/>
          <w:b/>
          <w:color w:val="000000"/>
          <w:sz w:val="30"/>
        </w:rPr>
        <w:t>九、关于国有资本经营预算支出情况表的说明</w:t>
      </w:r>
    </w:p>
    <w:p w14:paraId="29DA4838" w14:textId="77777777" w:rsidR="00E40648" w:rsidRDefault="00B24358">
      <w:pPr>
        <w:spacing w:line="560" w:lineRule="exact"/>
        <w:ind w:firstLine="600"/>
      </w:pPr>
      <w:r>
        <w:rPr>
          <w:rFonts w:ascii="仿宋" w:eastAsia="仿宋" w:hAnsi="仿宋" w:cs="仿宋"/>
          <w:color w:val="000000"/>
          <w:sz w:val="30"/>
        </w:rPr>
        <w:t>2025年天津市西青区市场监督管理局部门预算中没有使用国有资本经营预算安排的支出。</w:t>
      </w:r>
    </w:p>
    <w:p w14:paraId="36115E51" w14:textId="77777777" w:rsidR="00E40648" w:rsidRDefault="00B24358">
      <w:pPr>
        <w:spacing w:line="560" w:lineRule="exact"/>
        <w:ind w:firstLine="600"/>
      </w:pPr>
      <w:r>
        <w:rPr>
          <w:rFonts w:ascii="黑体" w:eastAsia="黑体" w:hAnsi="黑体" w:cs="黑体"/>
          <w:b/>
          <w:color w:val="000000"/>
          <w:sz w:val="30"/>
        </w:rPr>
        <w:t>十、其他重要事项的情况说明</w:t>
      </w:r>
    </w:p>
    <w:p w14:paraId="535C1853" w14:textId="77777777" w:rsidR="00E40648" w:rsidRDefault="00B24358">
      <w:pPr>
        <w:spacing w:line="560" w:lineRule="exact"/>
        <w:ind w:firstLine="600"/>
      </w:pPr>
      <w:r>
        <w:rPr>
          <w:rFonts w:ascii="楷体" w:eastAsia="楷体" w:hAnsi="楷体" w:cs="楷体"/>
          <w:b/>
          <w:color w:val="000000"/>
          <w:sz w:val="30"/>
        </w:rPr>
        <w:t>（一）机关运行经费。</w:t>
      </w:r>
    </w:p>
    <w:p w14:paraId="0F1E0C43" w14:textId="77777777" w:rsidR="00E40648" w:rsidRDefault="00B24358">
      <w:pPr>
        <w:spacing w:line="560" w:lineRule="exact"/>
        <w:ind w:firstLine="600"/>
      </w:pPr>
      <w:r>
        <w:rPr>
          <w:rFonts w:ascii="仿宋" w:eastAsia="仿宋" w:hAnsi="仿宋" w:cs="仿宋"/>
          <w:color w:val="000000"/>
          <w:sz w:val="30"/>
        </w:rPr>
        <w:t>本部门2025年天津市西青区市场监督管理局、天津市西青区市场监管综合行政执法支队等2家行政单位以及0家参公管理事业单位的机关运行经费预算1,033.29万元，包括办公费95.80万元、水费14.44万元、电费22.98万元、邮电费14.44万元、取暖费43.67万元、物业管理费216.37万元、差旅费16.13万元、维修(护)费15.76万元、培训费3.32万元、委托业务费2.40万元、工会经费69.63万元、福利费41.30万元、公务用车运行维护费34.50万元、其他交通费用230.80万元、其他商品和服务支出188.08万元、办公设备购置23.67万元 。</w:t>
      </w:r>
    </w:p>
    <w:p w14:paraId="0EC90D3B" w14:textId="77777777" w:rsidR="00E40648" w:rsidRDefault="00B24358">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w:t>
      </w:r>
      <w:r>
        <w:rPr>
          <w:rFonts w:ascii="仿宋" w:eastAsia="仿宋" w:hAnsi="仿宋" w:cs="仿宋"/>
          <w:color w:val="000000"/>
          <w:sz w:val="30"/>
        </w:rPr>
        <w:lastRenderedPageBreak/>
        <w:t>112.5万元，其中：政府采购货物支出2.5万元、政府采购工程支出0万元、政府采购服务支出110万元。主要项目是：基层所物业服务及复印纸采购等项目。</w:t>
      </w:r>
    </w:p>
    <w:p w14:paraId="520D4E53" w14:textId="77777777" w:rsidR="00E40648" w:rsidRDefault="00B24358">
      <w:pPr>
        <w:spacing w:line="560" w:lineRule="exact"/>
        <w:ind w:firstLine="600"/>
      </w:pPr>
      <w:r>
        <w:rPr>
          <w:rFonts w:ascii="楷体" w:eastAsia="楷体" w:hAnsi="楷体" w:cs="楷体"/>
          <w:b/>
          <w:color w:val="000000"/>
          <w:sz w:val="30"/>
        </w:rPr>
        <w:t>（三）国有资产占用情况</w:t>
      </w:r>
    </w:p>
    <w:p w14:paraId="6382A157" w14:textId="77777777" w:rsidR="00E40648" w:rsidRDefault="00B24358">
      <w:pPr>
        <w:spacing w:line="560" w:lineRule="exact"/>
        <w:ind w:firstLine="600"/>
      </w:pPr>
      <w:r>
        <w:rPr>
          <w:rFonts w:ascii="仿宋" w:eastAsia="仿宋" w:hAnsi="仿宋" w:cs="仿宋"/>
          <w:color w:val="000000"/>
          <w:sz w:val="30"/>
        </w:rPr>
        <w:t>截至2024年12月底，本部门各单位共有车辆35辆、其中：副部（省）级及以上领导用车0辆、主要负责人干部用车0辆、机要通信用车0辆、应急保障用车0辆、执法执勤用车23辆、特种专业技术用车12辆、离退休干部用车0辆、其他用车0辆，其他用车主要包括0。单价（账面原值）100万以上的设备0台（套）。</w:t>
      </w:r>
    </w:p>
    <w:p w14:paraId="2574629F" w14:textId="77777777" w:rsidR="00E40648" w:rsidRDefault="00B24358">
      <w:pPr>
        <w:spacing w:line="560" w:lineRule="exact"/>
        <w:ind w:firstLine="600"/>
      </w:pPr>
      <w:r>
        <w:rPr>
          <w:rFonts w:ascii="楷体" w:eastAsia="楷体" w:hAnsi="楷体" w:cs="楷体"/>
          <w:b/>
          <w:color w:val="000000"/>
          <w:sz w:val="30"/>
        </w:rPr>
        <w:t>（四）预算绩效情况说明。</w:t>
      </w:r>
    </w:p>
    <w:p w14:paraId="7CF82355" w14:textId="77777777" w:rsidR="00E40648" w:rsidRDefault="00B24358">
      <w:pPr>
        <w:spacing w:line="560" w:lineRule="exact"/>
        <w:ind w:firstLine="600"/>
      </w:pPr>
      <w:r>
        <w:rPr>
          <w:rFonts w:ascii="仿宋" w:eastAsia="仿宋" w:hAnsi="仿宋" w:cs="仿宋"/>
          <w:color w:val="000000"/>
          <w:sz w:val="30"/>
        </w:rPr>
        <w:t>天津市西青区市场监督管理局部门2025年实行绩效目标管理的项目8个，涉及预算金额75万元。</w:t>
      </w:r>
    </w:p>
    <w:p w14:paraId="56706F36" w14:textId="77777777" w:rsidR="00E40648" w:rsidRDefault="00B24358">
      <w:pPr>
        <w:pageBreakBefore/>
        <w:spacing w:line="560" w:lineRule="exact"/>
        <w:jc w:val="center"/>
      </w:pPr>
      <w:r>
        <w:rPr>
          <w:rFonts w:ascii="黑体" w:eastAsia="黑体" w:hAnsi="黑体" w:cs="黑体"/>
          <w:b/>
          <w:color w:val="000000"/>
          <w:sz w:val="48"/>
        </w:rPr>
        <w:lastRenderedPageBreak/>
        <w:t>第三部分  名词解释</w:t>
      </w:r>
    </w:p>
    <w:p w14:paraId="326743DC" w14:textId="77777777" w:rsidR="00E40648" w:rsidRDefault="00B24358">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EA30F36" w14:textId="77777777" w:rsidR="00E40648" w:rsidRDefault="00B24358">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08B5E9D" w14:textId="77777777" w:rsidR="00E40648" w:rsidRDefault="00B24358">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DB97843" w14:textId="77777777" w:rsidR="00E40648" w:rsidRDefault="00B24358">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478A44" w14:textId="77777777" w:rsidR="00E40648" w:rsidRDefault="00B24358">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56902A12" w14:textId="77777777" w:rsidR="00E40648" w:rsidRDefault="00B24358">
      <w:pPr>
        <w:spacing w:line="560" w:lineRule="exact"/>
      </w:pPr>
      <w:r>
        <w:rPr>
          <w:rFonts w:ascii="楷体" w:eastAsia="楷体" w:hAnsi="楷体" w:cs="楷体"/>
          <w:b/>
          <w:color w:val="000000"/>
          <w:sz w:val="30"/>
        </w:rPr>
        <w:t>一、《部门收支总体情况表》</w:t>
      </w:r>
    </w:p>
    <w:p w14:paraId="73AAC66F" w14:textId="77777777" w:rsidR="00E40648" w:rsidRDefault="00B24358">
      <w:pPr>
        <w:spacing w:line="560" w:lineRule="exact"/>
      </w:pPr>
      <w:r>
        <w:rPr>
          <w:rFonts w:ascii="楷体" w:eastAsia="楷体" w:hAnsi="楷体" w:cs="楷体"/>
          <w:b/>
          <w:color w:val="000000"/>
          <w:sz w:val="30"/>
        </w:rPr>
        <w:t>二、《部门收入总体情况表》</w:t>
      </w:r>
    </w:p>
    <w:p w14:paraId="798B7E9E" w14:textId="77777777" w:rsidR="00E40648" w:rsidRDefault="00B24358">
      <w:pPr>
        <w:spacing w:line="560" w:lineRule="exact"/>
      </w:pPr>
      <w:r>
        <w:rPr>
          <w:rFonts w:ascii="楷体" w:eastAsia="楷体" w:hAnsi="楷体" w:cs="楷体"/>
          <w:b/>
          <w:color w:val="000000"/>
          <w:sz w:val="30"/>
        </w:rPr>
        <w:t>三、《部门支出总体情况表》</w:t>
      </w:r>
    </w:p>
    <w:p w14:paraId="77855B9F" w14:textId="77777777" w:rsidR="00E40648" w:rsidRDefault="00B24358">
      <w:pPr>
        <w:spacing w:line="560" w:lineRule="exact"/>
      </w:pPr>
      <w:r>
        <w:rPr>
          <w:rFonts w:ascii="楷体" w:eastAsia="楷体" w:hAnsi="楷体" w:cs="楷体"/>
          <w:b/>
          <w:color w:val="000000"/>
          <w:sz w:val="30"/>
        </w:rPr>
        <w:t>四、《财政拨款收支总体情况表》</w:t>
      </w:r>
    </w:p>
    <w:p w14:paraId="5218D613" w14:textId="77777777" w:rsidR="00E40648" w:rsidRDefault="00B24358">
      <w:pPr>
        <w:spacing w:line="560" w:lineRule="exact"/>
      </w:pPr>
      <w:r>
        <w:rPr>
          <w:rFonts w:ascii="楷体" w:eastAsia="楷体" w:hAnsi="楷体" w:cs="楷体"/>
          <w:b/>
          <w:color w:val="000000"/>
          <w:sz w:val="30"/>
        </w:rPr>
        <w:t>五、《一般公共预算支出情况表》</w:t>
      </w:r>
    </w:p>
    <w:p w14:paraId="1DD985B9" w14:textId="77777777" w:rsidR="00E40648" w:rsidRDefault="00B24358">
      <w:pPr>
        <w:spacing w:line="560" w:lineRule="exact"/>
      </w:pPr>
      <w:r>
        <w:rPr>
          <w:rFonts w:ascii="楷体" w:eastAsia="楷体" w:hAnsi="楷体" w:cs="楷体"/>
          <w:b/>
          <w:color w:val="000000"/>
          <w:sz w:val="30"/>
        </w:rPr>
        <w:t>六、《一般公共预算基本支出情况表》</w:t>
      </w:r>
    </w:p>
    <w:p w14:paraId="3CEBD67C" w14:textId="77777777" w:rsidR="00E40648" w:rsidRDefault="00B24358">
      <w:pPr>
        <w:spacing w:line="560" w:lineRule="exact"/>
      </w:pPr>
      <w:r>
        <w:rPr>
          <w:rFonts w:ascii="楷体" w:eastAsia="楷体" w:hAnsi="楷体" w:cs="楷体"/>
          <w:b/>
          <w:color w:val="000000"/>
          <w:sz w:val="30"/>
        </w:rPr>
        <w:t>七、《一般公共预算“三公”经费支出情况表》</w:t>
      </w:r>
    </w:p>
    <w:p w14:paraId="3E902971" w14:textId="77777777" w:rsidR="00E40648" w:rsidRDefault="00B24358">
      <w:pPr>
        <w:spacing w:line="560" w:lineRule="exact"/>
      </w:pPr>
      <w:r>
        <w:rPr>
          <w:rFonts w:ascii="楷体" w:eastAsia="楷体" w:hAnsi="楷体" w:cs="楷体"/>
          <w:b/>
          <w:color w:val="000000"/>
          <w:sz w:val="30"/>
        </w:rPr>
        <w:t>八、《政府性基金预算支出情况表》</w:t>
      </w:r>
    </w:p>
    <w:p w14:paraId="3B929816" w14:textId="77777777" w:rsidR="00E40648" w:rsidRDefault="00B24358">
      <w:pPr>
        <w:spacing w:line="560" w:lineRule="exact"/>
      </w:pPr>
      <w:r>
        <w:rPr>
          <w:rFonts w:ascii="楷体" w:eastAsia="楷体" w:hAnsi="楷体" w:cs="楷体"/>
          <w:b/>
          <w:color w:val="000000"/>
          <w:sz w:val="30"/>
        </w:rPr>
        <w:t>九、《国有资本经营预算支出情况表》</w:t>
      </w:r>
    </w:p>
    <w:p w14:paraId="01E15B23" w14:textId="77777777" w:rsidR="00E40648" w:rsidRDefault="00B24358">
      <w:pPr>
        <w:spacing w:line="560" w:lineRule="exact"/>
      </w:pPr>
      <w:r>
        <w:rPr>
          <w:rFonts w:ascii="楷体" w:eastAsia="楷体" w:hAnsi="楷体" w:cs="楷体"/>
          <w:b/>
          <w:color w:val="000000"/>
          <w:sz w:val="30"/>
        </w:rPr>
        <w:t>十、《项目支出表》</w:t>
      </w:r>
    </w:p>
    <w:p w14:paraId="3D720AB5" w14:textId="77777777" w:rsidR="00E40648" w:rsidRDefault="00B24358">
      <w:pPr>
        <w:spacing w:line="560" w:lineRule="exact"/>
      </w:pPr>
      <w:r>
        <w:rPr>
          <w:rFonts w:ascii="楷体" w:eastAsia="楷体" w:hAnsi="楷体" w:cs="楷体"/>
          <w:b/>
          <w:color w:val="000000"/>
          <w:sz w:val="30"/>
        </w:rPr>
        <w:t>十一、关于空表说明</w:t>
      </w:r>
    </w:p>
    <w:p w14:paraId="5B11960D" w14:textId="77777777" w:rsidR="00E40648" w:rsidRDefault="00B24358">
      <w:pPr>
        <w:pageBreakBefore/>
        <w:spacing w:line="560" w:lineRule="exact"/>
      </w:pPr>
      <w:r>
        <w:rPr>
          <w:rFonts w:ascii="仿宋" w:eastAsia="仿宋" w:hAnsi="仿宋" w:cs="仿宋"/>
          <w:b/>
          <w:color w:val="000000"/>
          <w:sz w:val="30"/>
        </w:rPr>
        <w:lastRenderedPageBreak/>
        <w:t>十一、关于空表的说明</w:t>
      </w:r>
    </w:p>
    <w:p w14:paraId="4CB64877" w14:textId="77777777" w:rsidR="00E40648" w:rsidRDefault="00B24358">
      <w:pPr>
        <w:spacing w:line="560" w:lineRule="exact"/>
        <w:ind w:firstLine="600"/>
      </w:pPr>
      <w:r>
        <w:rPr>
          <w:rFonts w:ascii="仿宋" w:eastAsia="仿宋" w:hAnsi="仿宋" w:cs="仿宋"/>
          <w:color w:val="000000"/>
          <w:sz w:val="30"/>
        </w:rPr>
        <w:t>本部门2025年政府性基金预算支出情况表为空表</w:t>
      </w:r>
    </w:p>
    <w:p w14:paraId="0806CB9C" w14:textId="77777777" w:rsidR="00E40648" w:rsidRDefault="00B24358">
      <w:pPr>
        <w:spacing w:line="560" w:lineRule="exact"/>
        <w:ind w:firstLine="600"/>
      </w:pPr>
      <w:r>
        <w:rPr>
          <w:rFonts w:ascii="仿宋" w:eastAsia="仿宋" w:hAnsi="仿宋" w:cs="仿宋"/>
          <w:color w:val="000000"/>
          <w:sz w:val="30"/>
        </w:rPr>
        <w:t>本部门2025年国有资本经营预算支出情况表为空表</w:t>
      </w:r>
    </w:p>
    <w:sectPr w:rsidR="00E40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442C" w14:textId="77777777" w:rsidR="00544545" w:rsidRDefault="00544545" w:rsidP="00D417EF">
      <w:r>
        <w:separator/>
      </w:r>
    </w:p>
  </w:endnote>
  <w:endnote w:type="continuationSeparator" w:id="0">
    <w:p w14:paraId="72A5ADAA" w14:textId="77777777" w:rsidR="00544545" w:rsidRDefault="00544545" w:rsidP="00D4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101F7" w14:textId="77777777" w:rsidR="00544545" w:rsidRDefault="00544545" w:rsidP="00D417EF">
      <w:r>
        <w:separator/>
      </w:r>
    </w:p>
  </w:footnote>
  <w:footnote w:type="continuationSeparator" w:id="0">
    <w:p w14:paraId="282B6241" w14:textId="77777777" w:rsidR="00544545" w:rsidRDefault="00544545" w:rsidP="00D41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648"/>
    <w:rsid w:val="00181A78"/>
    <w:rsid w:val="00192820"/>
    <w:rsid w:val="003A30BB"/>
    <w:rsid w:val="00544545"/>
    <w:rsid w:val="005E5C14"/>
    <w:rsid w:val="00B24358"/>
    <w:rsid w:val="00B56F52"/>
    <w:rsid w:val="00D417EF"/>
    <w:rsid w:val="00E40648"/>
    <w:rsid w:val="00FD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010E"/>
  <w15:docId w15:val="{1E07C8DF-DE2D-4EFF-B16A-E3E68BF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17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417EF"/>
    <w:rPr>
      <w:sz w:val="18"/>
      <w:szCs w:val="18"/>
    </w:rPr>
  </w:style>
  <w:style w:type="paragraph" w:styleId="a5">
    <w:name w:val="footer"/>
    <w:basedOn w:val="a"/>
    <w:link w:val="a6"/>
    <w:uiPriority w:val="99"/>
    <w:semiHidden/>
    <w:unhideWhenUsed/>
    <w:rsid w:val="00D417E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417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1132</Words>
  <Characters>6455</Characters>
  <Application>Microsoft Office Word</Application>
  <DocSecurity>0</DocSecurity>
  <Lines>53</Lines>
  <Paragraphs>15</Paragraphs>
  <ScaleCrop>false</ScaleCrop>
  <Company>user</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2025-03-24T06:54:00Z</dcterms:created>
  <dcterms:modified xsi:type="dcterms:W3CDTF">2025-03-24T12:15:00Z</dcterms:modified>
</cp:coreProperties>
</file>