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0A00D" w14:textId="77777777" w:rsidR="00E1171C" w:rsidRDefault="009D367C">
      <w:pPr>
        <w:spacing w:line="2600" w:lineRule="exact"/>
        <w:jc w:val="center"/>
        <w:rPr>
          <w:rFonts w:hint="eastAsia"/>
        </w:rPr>
      </w:pPr>
      <w:r>
        <w:rPr>
          <w:rFonts w:ascii="FZXiaoBiaoSong-B05S" w:eastAsia="FZXiaoBiaoSong-B05S" w:hAnsi="FZXiaoBiaoSong-B05S" w:cs="FZXiaoBiaoSong-B05S"/>
          <w:b/>
          <w:color w:val="000000"/>
          <w:sz w:val="48"/>
        </w:rPr>
        <w:t>天津市西青区统计局</w:t>
      </w:r>
      <w:r>
        <w:rPr>
          <w:rFonts w:ascii="FZXiaoBiaoSong-B05S" w:eastAsia="FZXiaoBiaoSong-B05S" w:hAnsi="FZXiaoBiaoSong-B05S" w:cs="FZXiaoBiaoSong-B05S"/>
          <w:b/>
          <w:color w:val="000000"/>
          <w:sz w:val="48"/>
        </w:rPr>
        <w:br/>
        <w:t>2025年度部门预算公开</w:t>
      </w:r>
    </w:p>
    <w:p w14:paraId="0698F93A" w14:textId="77777777" w:rsidR="00E1171C" w:rsidRDefault="009D367C">
      <w:pPr>
        <w:pageBreakBefore/>
        <w:spacing w:line="560" w:lineRule="exact"/>
        <w:jc w:val="center"/>
        <w:rPr>
          <w:rFonts w:hint="eastAsia"/>
        </w:rPr>
      </w:pPr>
      <w:r>
        <w:rPr>
          <w:rFonts w:ascii="黑体" w:eastAsia="黑体" w:hAnsi="黑体" w:cs="黑体"/>
          <w:b/>
          <w:color w:val="000000"/>
          <w:sz w:val="44"/>
        </w:rPr>
        <w:lastRenderedPageBreak/>
        <w:t>目    录</w:t>
      </w:r>
    </w:p>
    <w:p w14:paraId="359DEC21" w14:textId="77777777" w:rsidR="00E1171C" w:rsidRDefault="009D367C">
      <w:pPr>
        <w:spacing w:line="560" w:lineRule="exact"/>
        <w:ind w:firstLine="900"/>
        <w:jc w:val="both"/>
        <w:rPr>
          <w:rFonts w:hint="eastAsia"/>
        </w:rPr>
      </w:pPr>
      <w:r>
        <w:rPr>
          <w:rFonts w:ascii="仿宋" w:eastAsia="仿宋" w:hAnsi="仿宋" w:cs="仿宋"/>
          <w:b/>
          <w:color w:val="000000"/>
          <w:sz w:val="30"/>
        </w:rPr>
        <w:t>第一部分  概况</w:t>
      </w:r>
    </w:p>
    <w:p w14:paraId="06788176" w14:textId="77777777" w:rsidR="00E1171C" w:rsidRDefault="009D367C">
      <w:pPr>
        <w:spacing w:line="560" w:lineRule="exact"/>
        <w:ind w:firstLine="900"/>
        <w:jc w:val="both"/>
        <w:rPr>
          <w:rFonts w:hint="eastAsia"/>
        </w:rPr>
      </w:pPr>
      <w:r>
        <w:rPr>
          <w:rFonts w:ascii="仿宋" w:eastAsia="仿宋" w:hAnsi="仿宋" w:cs="仿宋"/>
          <w:color w:val="000000"/>
          <w:sz w:val="30"/>
        </w:rPr>
        <w:t>一、主要职责</w:t>
      </w:r>
    </w:p>
    <w:p w14:paraId="580B4CAE" w14:textId="77777777" w:rsidR="00E1171C" w:rsidRDefault="009D367C">
      <w:pPr>
        <w:spacing w:line="560" w:lineRule="exact"/>
        <w:ind w:firstLine="900"/>
        <w:jc w:val="both"/>
        <w:rPr>
          <w:rFonts w:hint="eastAsia"/>
        </w:rPr>
      </w:pPr>
      <w:r>
        <w:rPr>
          <w:rFonts w:ascii="仿宋" w:eastAsia="仿宋" w:hAnsi="仿宋" w:cs="仿宋"/>
          <w:color w:val="000000"/>
          <w:sz w:val="30"/>
        </w:rPr>
        <w:t>二、机构设置情况</w:t>
      </w:r>
    </w:p>
    <w:p w14:paraId="44898D9F" w14:textId="77777777" w:rsidR="00E1171C" w:rsidRDefault="009D367C">
      <w:pPr>
        <w:spacing w:line="560" w:lineRule="exact"/>
        <w:ind w:firstLine="900"/>
        <w:jc w:val="both"/>
        <w:rPr>
          <w:rFonts w:hint="eastAsia"/>
        </w:rPr>
      </w:pPr>
      <w:r>
        <w:rPr>
          <w:rFonts w:ascii="仿宋" w:eastAsia="仿宋" w:hAnsi="仿宋" w:cs="仿宋"/>
          <w:b/>
          <w:color w:val="000000"/>
          <w:sz w:val="30"/>
        </w:rPr>
        <w:t>第二部分  2025年部门情况说明</w:t>
      </w:r>
    </w:p>
    <w:p w14:paraId="6C0AE181" w14:textId="77777777" w:rsidR="00E1171C" w:rsidRDefault="009D367C">
      <w:pPr>
        <w:spacing w:line="560" w:lineRule="exact"/>
        <w:ind w:firstLine="900"/>
        <w:jc w:val="both"/>
        <w:rPr>
          <w:rFonts w:hint="eastAsia"/>
        </w:rPr>
      </w:pPr>
      <w:r>
        <w:rPr>
          <w:rFonts w:ascii="仿宋" w:eastAsia="仿宋" w:hAnsi="仿宋" w:cs="仿宋"/>
          <w:color w:val="000000"/>
          <w:sz w:val="30"/>
        </w:rPr>
        <w:t>一、关于收支总体情况表的说明</w:t>
      </w:r>
    </w:p>
    <w:p w14:paraId="7879FC69" w14:textId="77777777" w:rsidR="00E1171C" w:rsidRDefault="009D367C">
      <w:pPr>
        <w:spacing w:line="560" w:lineRule="exact"/>
        <w:ind w:firstLine="900"/>
        <w:jc w:val="both"/>
        <w:rPr>
          <w:rFonts w:hint="eastAsia"/>
        </w:rPr>
      </w:pPr>
      <w:r>
        <w:rPr>
          <w:rFonts w:ascii="仿宋" w:eastAsia="仿宋" w:hAnsi="仿宋" w:cs="仿宋"/>
          <w:color w:val="000000"/>
          <w:sz w:val="30"/>
        </w:rPr>
        <w:t>二、关于收入总体情况表的说明</w:t>
      </w:r>
    </w:p>
    <w:p w14:paraId="7AD52D5F" w14:textId="77777777" w:rsidR="00E1171C" w:rsidRDefault="009D367C">
      <w:pPr>
        <w:spacing w:line="560" w:lineRule="exact"/>
        <w:ind w:firstLine="900"/>
        <w:jc w:val="both"/>
        <w:rPr>
          <w:rFonts w:hint="eastAsia"/>
        </w:rPr>
      </w:pPr>
      <w:r>
        <w:rPr>
          <w:rFonts w:ascii="仿宋" w:eastAsia="仿宋" w:hAnsi="仿宋" w:cs="仿宋"/>
          <w:color w:val="000000"/>
          <w:sz w:val="30"/>
        </w:rPr>
        <w:t>三、关于支出总体情况表的说明</w:t>
      </w:r>
    </w:p>
    <w:p w14:paraId="5F3A7EA2" w14:textId="77777777" w:rsidR="00E1171C" w:rsidRDefault="009D367C">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6219070F" w14:textId="77777777" w:rsidR="00E1171C" w:rsidRDefault="009D367C">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7530AE1A" w14:textId="77777777" w:rsidR="00E1171C" w:rsidRDefault="009D367C">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67940B9C" w14:textId="77777777" w:rsidR="00E1171C" w:rsidRDefault="009D367C">
      <w:pPr>
        <w:spacing w:line="560" w:lineRule="exact"/>
        <w:ind w:firstLine="900"/>
        <w:jc w:val="both"/>
        <w:rPr>
          <w:rFonts w:hint="eastAsia"/>
        </w:rPr>
      </w:pPr>
      <w:r>
        <w:rPr>
          <w:rFonts w:ascii="仿宋" w:eastAsia="仿宋" w:hAnsi="仿宋" w:cs="仿宋"/>
          <w:color w:val="000000"/>
          <w:sz w:val="30"/>
        </w:rPr>
        <w:t>七、关于一般公共预算“三公”经费支出情况表的说明</w:t>
      </w:r>
    </w:p>
    <w:p w14:paraId="358E5CBA" w14:textId="77777777" w:rsidR="00E1171C" w:rsidRDefault="009D367C">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31882B7B" w14:textId="77777777" w:rsidR="00E1171C" w:rsidRDefault="009D367C">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4FF8D457" w14:textId="77777777" w:rsidR="00E1171C" w:rsidRDefault="009D367C">
      <w:pPr>
        <w:spacing w:line="560" w:lineRule="exact"/>
        <w:ind w:firstLine="900"/>
        <w:jc w:val="both"/>
        <w:rPr>
          <w:rFonts w:hint="eastAsia"/>
        </w:rPr>
      </w:pPr>
      <w:r>
        <w:rPr>
          <w:rFonts w:ascii="仿宋" w:eastAsia="仿宋" w:hAnsi="仿宋" w:cs="仿宋"/>
          <w:color w:val="000000"/>
          <w:sz w:val="30"/>
        </w:rPr>
        <w:t>十、其他重要事项的情况说明</w:t>
      </w:r>
    </w:p>
    <w:p w14:paraId="17F6F276" w14:textId="77777777" w:rsidR="00E1171C" w:rsidRDefault="009D367C">
      <w:pPr>
        <w:spacing w:line="560" w:lineRule="exact"/>
        <w:ind w:firstLine="900"/>
        <w:jc w:val="both"/>
        <w:rPr>
          <w:rFonts w:hint="eastAsia"/>
        </w:rPr>
      </w:pPr>
      <w:r>
        <w:rPr>
          <w:rFonts w:ascii="仿宋" w:eastAsia="仿宋" w:hAnsi="仿宋" w:cs="仿宋"/>
          <w:b/>
          <w:color w:val="000000"/>
          <w:sz w:val="30"/>
        </w:rPr>
        <w:t>第三部分  名词解释</w:t>
      </w:r>
    </w:p>
    <w:p w14:paraId="77C05F12" w14:textId="77777777" w:rsidR="00E1171C" w:rsidRDefault="009D367C">
      <w:pPr>
        <w:spacing w:line="560" w:lineRule="exact"/>
        <w:ind w:firstLine="900"/>
        <w:jc w:val="both"/>
        <w:rPr>
          <w:rFonts w:hint="eastAsia"/>
        </w:rPr>
      </w:pPr>
      <w:r>
        <w:rPr>
          <w:rFonts w:ascii="仿宋" w:eastAsia="仿宋" w:hAnsi="仿宋" w:cs="仿宋"/>
          <w:b/>
          <w:color w:val="000000"/>
          <w:sz w:val="30"/>
        </w:rPr>
        <w:t>第四部分  2025年部门预算表</w:t>
      </w:r>
    </w:p>
    <w:p w14:paraId="2A0C3D50" w14:textId="77777777" w:rsidR="00E1171C" w:rsidRDefault="009D367C">
      <w:pPr>
        <w:spacing w:line="560" w:lineRule="exact"/>
        <w:ind w:firstLine="900"/>
        <w:jc w:val="both"/>
        <w:rPr>
          <w:rFonts w:hint="eastAsia"/>
        </w:rPr>
      </w:pPr>
      <w:r>
        <w:rPr>
          <w:rFonts w:ascii="仿宋" w:eastAsia="仿宋" w:hAnsi="仿宋" w:cs="仿宋"/>
          <w:color w:val="000000"/>
          <w:sz w:val="30"/>
        </w:rPr>
        <w:t>一、部门收支总体情况表</w:t>
      </w:r>
    </w:p>
    <w:p w14:paraId="3298DEA2" w14:textId="77777777" w:rsidR="00E1171C" w:rsidRDefault="009D367C">
      <w:pPr>
        <w:spacing w:line="560" w:lineRule="exact"/>
        <w:ind w:firstLine="900"/>
        <w:jc w:val="both"/>
        <w:rPr>
          <w:rFonts w:hint="eastAsia"/>
        </w:rPr>
      </w:pPr>
      <w:r>
        <w:rPr>
          <w:rFonts w:ascii="仿宋" w:eastAsia="仿宋" w:hAnsi="仿宋" w:cs="仿宋"/>
          <w:color w:val="000000"/>
          <w:sz w:val="30"/>
        </w:rPr>
        <w:t>二、部门收入总体情况表</w:t>
      </w:r>
    </w:p>
    <w:p w14:paraId="2DA1CC03" w14:textId="77777777" w:rsidR="00E1171C" w:rsidRDefault="009D367C">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331C5CCB" w14:textId="77777777" w:rsidR="00E1171C" w:rsidRDefault="009D367C">
      <w:pPr>
        <w:spacing w:line="560" w:lineRule="exact"/>
        <w:ind w:firstLine="900"/>
        <w:jc w:val="both"/>
        <w:rPr>
          <w:rFonts w:hint="eastAsia"/>
        </w:rPr>
      </w:pPr>
      <w:r>
        <w:rPr>
          <w:rFonts w:ascii="仿宋" w:eastAsia="仿宋" w:hAnsi="仿宋" w:cs="仿宋"/>
          <w:color w:val="000000"/>
          <w:sz w:val="30"/>
        </w:rPr>
        <w:t>四、财政拨款收支总体情况表</w:t>
      </w:r>
    </w:p>
    <w:p w14:paraId="62209915" w14:textId="77777777" w:rsidR="00E1171C" w:rsidRDefault="009D367C">
      <w:pPr>
        <w:spacing w:line="560" w:lineRule="exact"/>
        <w:ind w:firstLine="900"/>
        <w:jc w:val="both"/>
        <w:rPr>
          <w:rFonts w:hint="eastAsia"/>
        </w:rPr>
      </w:pPr>
      <w:r>
        <w:rPr>
          <w:rFonts w:ascii="仿宋" w:eastAsia="仿宋" w:hAnsi="仿宋" w:cs="仿宋"/>
          <w:color w:val="000000"/>
          <w:sz w:val="30"/>
        </w:rPr>
        <w:t>五、一般公共预算支出情况表</w:t>
      </w:r>
    </w:p>
    <w:p w14:paraId="179DA375" w14:textId="77777777" w:rsidR="00E1171C" w:rsidRDefault="009D367C">
      <w:pPr>
        <w:spacing w:line="560" w:lineRule="exact"/>
        <w:ind w:firstLine="900"/>
        <w:jc w:val="both"/>
        <w:rPr>
          <w:rFonts w:hint="eastAsia"/>
        </w:rPr>
      </w:pPr>
      <w:r>
        <w:rPr>
          <w:rFonts w:ascii="仿宋" w:eastAsia="仿宋" w:hAnsi="仿宋" w:cs="仿宋"/>
          <w:color w:val="000000"/>
          <w:sz w:val="30"/>
        </w:rPr>
        <w:t>六、一般公共预算基本支出情况表</w:t>
      </w:r>
    </w:p>
    <w:p w14:paraId="15947767" w14:textId="77777777" w:rsidR="00E1171C" w:rsidRDefault="009D367C">
      <w:pPr>
        <w:spacing w:line="560" w:lineRule="exact"/>
        <w:ind w:firstLine="900"/>
        <w:jc w:val="both"/>
        <w:rPr>
          <w:rFonts w:hint="eastAsia"/>
        </w:rPr>
      </w:pPr>
      <w:r>
        <w:rPr>
          <w:rFonts w:ascii="仿宋" w:eastAsia="仿宋" w:hAnsi="仿宋" w:cs="仿宋"/>
          <w:color w:val="000000"/>
          <w:sz w:val="30"/>
        </w:rPr>
        <w:t>七、一般公共预算“三公”经费支出情况表</w:t>
      </w:r>
    </w:p>
    <w:p w14:paraId="7BB57139" w14:textId="77777777" w:rsidR="00E1171C" w:rsidRDefault="009D367C">
      <w:pPr>
        <w:spacing w:line="560" w:lineRule="exact"/>
        <w:ind w:firstLine="900"/>
        <w:jc w:val="both"/>
        <w:rPr>
          <w:rFonts w:hint="eastAsia"/>
        </w:rPr>
      </w:pPr>
      <w:r>
        <w:rPr>
          <w:rFonts w:ascii="仿宋" w:eastAsia="仿宋" w:hAnsi="仿宋" w:cs="仿宋"/>
          <w:color w:val="000000"/>
          <w:sz w:val="30"/>
        </w:rPr>
        <w:t>八、政府性基金预算支出情况表</w:t>
      </w:r>
    </w:p>
    <w:p w14:paraId="7AC58A7E" w14:textId="77777777" w:rsidR="00E1171C" w:rsidRDefault="009D367C">
      <w:pPr>
        <w:spacing w:line="560" w:lineRule="exact"/>
        <w:ind w:firstLine="900"/>
        <w:jc w:val="both"/>
        <w:rPr>
          <w:rFonts w:hint="eastAsia"/>
        </w:rPr>
      </w:pPr>
      <w:r>
        <w:rPr>
          <w:rFonts w:ascii="仿宋" w:eastAsia="仿宋" w:hAnsi="仿宋" w:cs="仿宋"/>
          <w:color w:val="000000"/>
          <w:sz w:val="30"/>
        </w:rPr>
        <w:t>九、国有资本经营预算支出情况表</w:t>
      </w:r>
    </w:p>
    <w:p w14:paraId="075F0E78" w14:textId="77777777" w:rsidR="00E1171C" w:rsidRDefault="009D367C">
      <w:pPr>
        <w:spacing w:line="560" w:lineRule="exact"/>
        <w:ind w:firstLine="900"/>
        <w:jc w:val="both"/>
        <w:rPr>
          <w:rFonts w:hint="eastAsia"/>
        </w:rPr>
      </w:pPr>
      <w:r>
        <w:rPr>
          <w:rFonts w:ascii="仿宋" w:eastAsia="仿宋" w:hAnsi="仿宋" w:cs="仿宋"/>
          <w:color w:val="000000"/>
          <w:sz w:val="30"/>
        </w:rPr>
        <w:t>十、项目支出表</w:t>
      </w:r>
    </w:p>
    <w:p w14:paraId="64BACD76" w14:textId="77777777" w:rsidR="00E1171C" w:rsidRDefault="009D367C">
      <w:pPr>
        <w:spacing w:line="560" w:lineRule="exact"/>
        <w:ind w:firstLine="900"/>
        <w:jc w:val="both"/>
        <w:rPr>
          <w:rFonts w:hint="eastAsia"/>
        </w:rPr>
      </w:pPr>
      <w:r>
        <w:rPr>
          <w:rFonts w:ascii="仿宋" w:eastAsia="仿宋" w:hAnsi="仿宋" w:cs="仿宋"/>
          <w:color w:val="000000"/>
          <w:sz w:val="30"/>
        </w:rPr>
        <w:t>十一、关于空表的说明</w:t>
      </w:r>
    </w:p>
    <w:p w14:paraId="6D6906B9" w14:textId="77777777" w:rsidR="00E1171C" w:rsidRDefault="009D367C">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 概况</w:t>
      </w:r>
    </w:p>
    <w:p w14:paraId="4C81ADC8" w14:textId="77777777" w:rsidR="00C94000" w:rsidRDefault="009D367C" w:rsidP="00C94000">
      <w:pPr>
        <w:spacing w:line="560" w:lineRule="exact"/>
        <w:ind w:firstLine="600"/>
        <w:jc w:val="both"/>
      </w:pPr>
      <w:r>
        <w:rPr>
          <w:rFonts w:ascii="黑体" w:eastAsia="黑体" w:hAnsi="黑体" w:cs="黑体"/>
          <w:b/>
          <w:color w:val="353232"/>
          <w:sz w:val="30"/>
        </w:rPr>
        <w:t>一、主要职责</w:t>
      </w:r>
    </w:p>
    <w:p w14:paraId="2F2325D0" w14:textId="77777777" w:rsidR="00C94000" w:rsidRDefault="009D367C" w:rsidP="00C94000">
      <w:pPr>
        <w:spacing w:line="560" w:lineRule="exact"/>
        <w:ind w:firstLine="600"/>
        <w:jc w:val="both"/>
      </w:pPr>
      <w:r>
        <w:rPr>
          <w:rFonts w:ascii="仿宋" w:eastAsia="仿宋" w:hAnsi="仿宋" w:cs="仿宋"/>
          <w:color w:val="000000"/>
          <w:sz w:val="30"/>
        </w:rPr>
        <w:t>1.负责起草统计工作的地方性规章并组织实施，拟订全区统计工作规划、调查计划及方案并组织实施，制定统计方法制度。</w:t>
      </w:r>
    </w:p>
    <w:p w14:paraId="1FCEA50C" w14:textId="77777777" w:rsidR="00C94000" w:rsidRDefault="009D367C" w:rsidP="00C94000">
      <w:pPr>
        <w:spacing w:line="560" w:lineRule="exact"/>
        <w:ind w:firstLine="600"/>
        <w:jc w:val="both"/>
        <w:rPr>
          <w:rFonts w:ascii="仿宋" w:eastAsia="仿宋" w:hAnsi="仿宋" w:cs="仿宋"/>
          <w:color w:val="000000"/>
          <w:sz w:val="30"/>
        </w:rPr>
      </w:pPr>
      <w:r>
        <w:rPr>
          <w:rFonts w:ascii="仿宋" w:eastAsia="仿宋" w:hAnsi="仿宋" w:cs="仿宋"/>
          <w:color w:val="000000"/>
          <w:sz w:val="30"/>
        </w:rPr>
        <w:t>2.负责搜集、整理、提供全区的基本统计资料；负责全区统计单位的登记备案和名录库的日常维护工作；负责对本区国民经济和社会发展及科技进步的基本情况进行统计分析、预测、监督，向区委、区政府和有关部门提供统计咨询监督意见。</w:t>
      </w:r>
    </w:p>
    <w:p w14:paraId="1959E40F" w14:textId="77777777" w:rsidR="00C94000" w:rsidRDefault="009D367C" w:rsidP="00C94000">
      <w:pPr>
        <w:spacing w:line="560" w:lineRule="exact"/>
        <w:ind w:firstLine="600"/>
        <w:jc w:val="both"/>
      </w:pPr>
      <w:r>
        <w:rPr>
          <w:rFonts w:ascii="仿宋" w:eastAsia="仿宋" w:hAnsi="仿宋" w:cs="仿宋"/>
          <w:color w:val="000000"/>
          <w:sz w:val="30"/>
        </w:rPr>
        <w:t>3.承担领导和协调全区统计工作；负责贯彻执行国家统计政策、规划、基本统计制度和标准，组织开展地方统计调查，规定本区统计范围。</w:t>
      </w:r>
    </w:p>
    <w:p w14:paraId="5DBE5EB0" w14:textId="77777777" w:rsidR="00C94000" w:rsidRDefault="009D367C" w:rsidP="00C94000">
      <w:pPr>
        <w:spacing w:line="560" w:lineRule="exact"/>
        <w:ind w:firstLine="600"/>
        <w:jc w:val="both"/>
      </w:pPr>
      <w:r>
        <w:rPr>
          <w:rFonts w:ascii="仿宋" w:eastAsia="仿宋" w:hAnsi="仿宋" w:cs="仿宋"/>
          <w:color w:val="000000"/>
          <w:sz w:val="30"/>
        </w:rPr>
        <w:t>4.负责全区重大的国情国力普查，审查各街镇的统计调查计划、方案，管理全区各部门制发的调查表；负责全区统计报表工作，定期发布全区国民经济和社会发展情况的统计资料。</w:t>
      </w:r>
    </w:p>
    <w:p w14:paraId="13B9A1E8" w14:textId="77777777" w:rsidR="00C94000" w:rsidRDefault="009D367C" w:rsidP="00C94000">
      <w:pPr>
        <w:spacing w:line="560" w:lineRule="exact"/>
        <w:ind w:firstLine="600"/>
        <w:jc w:val="both"/>
      </w:pPr>
      <w:r>
        <w:rPr>
          <w:rFonts w:ascii="仿宋" w:eastAsia="仿宋" w:hAnsi="仿宋" w:cs="仿宋"/>
          <w:color w:val="000000"/>
          <w:sz w:val="30"/>
        </w:rPr>
        <w:t>5.依法管理部门统计标准、统计调查项目；建立健全统计数据质量审核、监控和评估制度，并组织实施。</w:t>
      </w:r>
    </w:p>
    <w:p w14:paraId="51ABE540" w14:textId="77777777" w:rsidR="00C94000" w:rsidRDefault="009D367C" w:rsidP="00C94000">
      <w:pPr>
        <w:spacing w:line="560" w:lineRule="exact"/>
        <w:ind w:firstLine="600"/>
        <w:jc w:val="both"/>
      </w:pPr>
      <w:r>
        <w:rPr>
          <w:rFonts w:ascii="仿宋" w:eastAsia="仿宋" w:hAnsi="仿宋" w:cs="仿宋"/>
          <w:color w:val="000000"/>
          <w:sz w:val="30"/>
        </w:rPr>
        <w:t>6.组织指导各部门、各单位统计队伍建设和基础工作建设；负责指导本地区统计教育、培训及科学研究工作。</w:t>
      </w:r>
    </w:p>
    <w:p w14:paraId="2599ED7B" w14:textId="77777777" w:rsidR="00C94000" w:rsidRDefault="009D367C" w:rsidP="00C94000">
      <w:pPr>
        <w:spacing w:line="560" w:lineRule="exact"/>
        <w:ind w:firstLine="600"/>
        <w:jc w:val="both"/>
      </w:pPr>
      <w:r>
        <w:rPr>
          <w:rFonts w:ascii="仿宋" w:eastAsia="仿宋" w:hAnsi="仿宋" w:cs="仿宋"/>
          <w:color w:val="000000"/>
          <w:sz w:val="30"/>
        </w:rPr>
        <w:t>7.负责本区统计信息化系统建设；执行市统计信息自动化系统和统计数据库体系的基本标准和运行规则，组织、协调管理本区统计信息工程和统计数据库和网络。</w:t>
      </w:r>
    </w:p>
    <w:p w14:paraId="662EE46E" w14:textId="77777777" w:rsidR="00C94000" w:rsidRDefault="009D367C" w:rsidP="00C94000">
      <w:pPr>
        <w:spacing w:line="560" w:lineRule="exact"/>
        <w:ind w:firstLine="600"/>
        <w:jc w:val="both"/>
      </w:pPr>
      <w:r>
        <w:rPr>
          <w:rFonts w:ascii="仿宋" w:eastAsia="仿宋" w:hAnsi="仿宋" w:cs="仿宋"/>
          <w:color w:val="000000"/>
          <w:sz w:val="30"/>
        </w:rPr>
        <w:lastRenderedPageBreak/>
        <w:t>8.会同有关部门对全区各街镇进行经济目标考核。</w:t>
      </w:r>
    </w:p>
    <w:p w14:paraId="17C9D8E8" w14:textId="13956ACD" w:rsidR="007531C3" w:rsidRPr="00C94000" w:rsidRDefault="009D367C" w:rsidP="00C94000">
      <w:pPr>
        <w:spacing w:line="560" w:lineRule="exact"/>
        <w:ind w:firstLine="600"/>
        <w:jc w:val="both"/>
        <w:rPr>
          <w:rFonts w:hint="eastAsia"/>
        </w:rPr>
      </w:pPr>
      <w:r>
        <w:rPr>
          <w:rFonts w:ascii="仿宋" w:eastAsia="仿宋" w:hAnsi="仿宋" w:cs="仿宋"/>
          <w:color w:val="000000"/>
          <w:sz w:val="30"/>
        </w:rPr>
        <w:t>9.负责统计法律、法规的宣传教育，开展统计执法检查，监督统计法律法规的实施，处理统计违法案件。</w:t>
      </w:r>
    </w:p>
    <w:p w14:paraId="2C67E93E" w14:textId="6504091B" w:rsidR="007531C3" w:rsidRDefault="009D367C" w:rsidP="007531C3">
      <w:pPr>
        <w:spacing w:line="560" w:lineRule="exact"/>
        <w:jc w:val="both"/>
        <w:rPr>
          <w:rFonts w:ascii="仿宋" w:eastAsia="仿宋" w:hAnsi="仿宋" w:cs="仿宋" w:hint="eastAsia"/>
          <w:color w:val="000000"/>
          <w:sz w:val="30"/>
        </w:rPr>
      </w:pPr>
      <w:r>
        <w:rPr>
          <w:rFonts w:ascii="仿宋" w:eastAsia="仿宋" w:hAnsi="仿宋" w:cs="仿宋"/>
          <w:color w:val="000000"/>
          <w:sz w:val="30"/>
        </w:rPr>
        <w:t xml:space="preserve">    10.负责全区农业统计及核算工作。</w:t>
      </w:r>
    </w:p>
    <w:p w14:paraId="6F023BBC" w14:textId="2774C252" w:rsidR="00E1171C" w:rsidRDefault="009D367C" w:rsidP="007531C3">
      <w:pPr>
        <w:spacing w:line="560" w:lineRule="exact"/>
        <w:jc w:val="both"/>
        <w:rPr>
          <w:rFonts w:hint="eastAsia"/>
        </w:rPr>
      </w:pPr>
      <w:r>
        <w:rPr>
          <w:rFonts w:ascii="仿宋" w:eastAsia="仿宋" w:hAnsi="仿宋" w:cs="仿宋"/>
          <w:color w:val="000000"/>
          <w:sz w:val="30"/>
        </w:rPr>
        <w:t xml:space="preserve">    11.承办区委、区政府交办的其他工作。</w:t>
      </w:r>
    </w:p>
    <w:p w14:paraId="43BA89AB" w14:textId="77777777" w:rsidR="00E1171C" w:rsidRDefault="009D367C">
      <w:pPr>
        <w:spacing w:line="560" w:lineRule="exact"/>
        <w:ind w:firstLine="600"/>
        <w:jc w:val="both"/>
        <w:rPr>
          <w:rFonts w:hint="eastAsia"/>
        </w:rPr>
      </w:pPr>
      <w:r>
        <w:rPr>
          <w:rFonts w:ascii="黑体" w:eastAsia="黑体" w:hAnsi="黑体" w:cs="黑体"/>
          <w:b/>
          <w:color w:val="000000"/>
          <w:sz w:val="30"/>
        </w:rPr>
        <w:t>二、机构设置情况</w:t>
      </w:r>
    </w:p>
    <w:p w14:paraId="66402E06" w14:textId="77777777" w:rsidR="00E1171C" w:rsidRDefault="009D367C">
      <w:pPr>
        <w:spacing w:line="560" w:lineRule="exact"/>
        <w:ind w:firstLine="600"/>
        <w:jc w:val="both"/>
        <w:rPr>
          <w:rFonts w:hint="eastAsia"/>
        </w:rPr>
      </w:pPr>
      <w:r>
        <w:rPr>
          <w:rFonts w:ascii="仿宋" w:eastAsia="仿宋" w:hAnsi="仿宋" w:cs="仿宋"/>
          <w:color w:val="000000"/>
          <w:sz w:val="30"/>
        </w:rPr>
        <w:t>天津市西青区统计局部门内设2个职能科室；下辖2个预算单位。</w:t>
      </w:r>
    </w:p>
    <w:p w14:paraId="47329244" w14:textId="77777777" w:rsidR="00E1171C" w:rsidRDefault="009D367C">
      <w:pPr>
        <w:spacing w:line="560" w:lineRule="exact"/>
        <w:ind w:firstLine="600"/>
        <w:jc w:val="both"/>
        <w:rPr>
          <w:rFonts w:hint="eastAsia"/>
        </w:rPr>
      </w:pPr>
      <w:r>
        <w:rPr>
          <w:rFonts w:ascii="仿宋" w:eastAsia="仿宋" w:hAnsi="仿宋" w:cs="仿宋"/>
          <w:color w:val="000000"/>
          <w:sz w:val="30"/>
        </w:rPr>
        <w:t>纳入天津市西青区统计局部门2025年部门预算编制范围的预算单位包括：</w:t>
      </w:r>
    </w:p>
    <w:p w14:paraId="7A221EBB" w14:textId="77777777" w:rsidR="00E1171C" w:rsidRDefault="009D367C">
      <w:pPr>
        <w:spacing w:line="560" w:lineRule="exact"/>
        <w:ind w:firstLine="600"/>
        <w:jc w:val="both"/>
        <w:rPr>
          <w:rFonts w:hint="eastAsia"/>
        </w:rPr>
      </w:pPr>
      <w:r>
        <w:rPr>
          <w:rFonts w:ascii="仿宋" w:eastAsia="仿宋" w:hAnsi="仿宋" w:cs="仿宋"/>
          <w:color w:val="000000"/>
          <w:sz w:val="30"/>
        </w:rPr>
        <w:t>1.天津市西青区统计局</w:t>
      </w:r>
    </w:p>
    <w:p w14:paraId="0A01D895" w14:textId="77777777" w:rsidR="00E1171C" w:rsidRDefault="009D367C">
      <w:pPr>
        <w:spacing w:line="560" w:lineRule="exact"/>
        <w:ind w:firstLine="600"/>
        <w:jc w:val="both"/>
        <w:rPr>
          <w:rFonts w:hint="eastAsia"/>
        </w:rPr>
      </w:pPr>
      <w:r>
        <w:rPr>
          <w:rFonts w:ascii="仿宋" w:eastAsia="仿宋" w:hAnsi="仿宋" w:cs="仿宋"/>
          <w:color w:val="000000"/>
          <w:sz w:val="30"/>
        </w:rPr>
        <w:t>2.天津市西青区统计局普查中心</w:t>
      </w:r>
    </w:p>
    <w:p w14:paraId="03DE8E4B" w14:textId="77777777" w:rsidR="00E1171C" w:rsidRDefault="009D367C">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  2025年度部门预算情况说明</w:t>
      </w:r>
    </w:p>
    <w:p w14:paraId="0C0595A3" w14:textId="77777777" w:rsidR="00E1171C" w:rsidRDefault="009D367C">
      <w:pPr>
        <w:spacing w:line="560" w:lineRule="exact"/>
        <w:ind w:firstLine="600"/>
        <w:jc w:val="both"/>
        <w:rPr>
          <w:rFonts w:hint="eastAsia"/>
        </w:rPr>
      </w:pPr>
      <w:r>
        <w:rPr>
          <w:rFonts w:ascii="黑体" w:eastAsia="黑体" w:hAnsi="黑体" w:cs="黑体"/>
          <w:b/>
          <w:color w:val="000000"/>
          <w:sz w:val="30"/>
        </w:rPr>
        <w:t>一、关于收支总体情况表的说明</w:t>
      </w:r>
    </w:p>
    <w:p w14:paraId="4D4A3F24" w14:textId="77777777" w:rsidR="00E1171C" w:rsidRDefault="009D367C">
      <w:pPr>
        <w:spacing w:line="560" w:lineRule="exact"/>
        <w:ind w:firstLine="600"/>
        <w:jc w:val="both"/>
        <w:rPr>
          <w:rFonts w:hint="eastAsia"/>
        </w:rPr>
      </w:pPr>
      <w:r>
        <w:rPr>
          <w:rFonts w:ascii="仿宋" w:eastAsia="仿宋" w:hAnsi="仿宋" w:cs="仿宋"/>
          <w:color w:val="000000"/>
          <w:sz w:val="30"/>
        </w:rPr>
        <w:t>按照综合预算的原则，天津市西青区统计局部门所有收入和支出均纳入部门预算管理。收入包括：一般公共预算拨款收入838.95万元、政府性基金预算拨款收入0万元、国有资本经营预算拨款收入0万元、财政专户管理资金收入0万元、事业收入0万元、事业单位经营收入0万元、上级补助收入0万元、附属单位上缴收入0万元、其他收入0万元、上年结转结余0万元；支出包括：教育支出0.44万元、社会保障和就业支出68.16万元、一般公共服务支出738.80万元、卫生健康支出31.55万元。天津市西青区统计局部门2025年收支总预算838.95万元。</w:t>
      </w:r>
    </w:p>
    <w:p w14:paraId="3465395F" w14:textId="77777777" w:rsidR="00E1171C" w:rsidRDefault="009D367C">
      <w:pPr>
        <w:spacing w:line="560" w:lineRule="exact"/>
        <w:ind w:firstLine="600"/>
        <w:jc w:val="both"/>
        <w:rPr>
          <w:rFonts w:hint="eastAsia"/>
        </w:rPr>
      </w:pPr>
      <w:r>
        <w:rPr>
          <w:rFonts w:ascii="黑体" w:eastAsia="黑体" w:hAnsi="黑体" w:cs="黑体"/>
          <w:b/>
          <w:color w:val="000000"/>
          <w:sz w:val="30"/>
        </w:rPr>
        <w:t>二、关于收入总体情况表的说明</w:t>
      </w:r>
    </w:p>
    <w:p w14:paraId="2A56BD91" w14:textId="77777777" w:rsidR="00E1171C" w:rsidRDefault="009D367C">
      <w:pPr>
        <w:spacing w:line="560" w:lineRule="exact"/>
        <w:ind w:firstLine="600"/>
        <w:jc w:val="both"/>
        <w:rPr>
          <w:rFonts w:hint="eastAsia"/>
        </w:rPr>
      </w:pPr>
      <w:r>
        <w:rPr>
          <w:rFonts w:ascii="仿宋" w:eastAsia="仿宋" w:hAnsi="仿宋" w:cs="仿宋"/>
          <w:color w:val="000000"/>
          <w:sz w:val="30"/>
        </w:rPr>
        <w:t>天津市西青区统计局部门2025年部门预算收入838.95万元，与上年预算相比增加37.93万元，主要原因是新招录两名参公人员。其中：上年结转结余0万元，占0%；一般公共预算838.95万元，占100.00%；政府性基金预算0万元，占0%；国有资本经营预算0万元，占0%；财政专户管理资金0万元，占0%；事业收入0万元，占0%；事业单位经营收入0万元，占0%；上级补助收入0万元，占0%；附属单位上缴收入0万元，占0%；其他收入0万元，占0%。</w:t>
      </w:r>
    </w:p>
    <w:p w14:paraId="5CB32529" w14:textId="77777777" w:rsidR="00E1171C" w:rsidRDefault="009D367C">
      <w:pPr>
        <w:spacing w:line="560" w:lineRule="exact"/>
        <w:ind w:firstLine="600"/>
        <w:jc w:val="both"/>
        <w:rPr>
          <w:rFonts w:hint="eastAsia"/>
        </w:rPr>
      </w:pPr>
      <w:r>
        <w:rPr>
          <w:rFonts w:ascii="黑体" w:eastAsia="黑体" w:hAnsi="黑体" w:cs="黑体"/>
          <w:b/>
          <w:color w:val="000000"/>
          <w:sz w:val="30"/>
        </w:rPr>
        <w:t>三、关于支出总体情况表的说明</w:t>
      </w:r>
    </w:p>
    <w:p w14:paraId="5FA58CA7" w14:textId="77777777" w:rsidR="00E1171C" w:rsidRDefault="009D367C">
      <w:pPr>
        <w:spacing w:line="560" w:lineRule="exact"/>
        <w:ind w:firstLine="600"/>
        <w:jc w:val="both"/>
        <w:rPr>
          <w:rFonts w:hint="eastAsia"/>
        </w:rPr>
      </w:pPr>
      <w:r>
        <w:rPr>
          <w:rFonts w:ascii="仿宋" w:eastAsia="仿宋" w:hAnsi="仿宋" w:cs="仿宋"/>
          <w:color w:val="000000"/>
          <w:sz w:val="30"/>
        </w:rPr>
        <w:t>天津市西青区统计局部门2025年支出预算838.95万元，</w:t>
      </w:r>
      <w:r>
        <w:rPr>
          <w:rFonts w:ascii="仿宋" w:eastAsia="仿宋" w:hAnsi="仿宋" w:cs="仿宋"/>
          <w:color w:val="000000"/>
          <w:sz w:val="30"/>
        </w:rPr>
        <w:lastRenderedPageBreak/>
        <w:t>与上年预算相比增加37.93万元，主要原因是新招录两名参公人员。其中：基本支出805.44万元，占96.01%；项目支出33.51万元，占3.99%；事业单位经营支出0万元，占0%；上缴上级支出0万元，占0%；对附属单位补助支出0万元，占0%。</w:t>
      </w:r>
    </w:p>
    <w:p w14:paraId="6D11DF0C" w14:textId="77777777" w:rsidR="00E1171C" w:rsidRDefault="009D367C">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61A6BD47" w14:textId="77777777" w:rsidR="00E1171C" w:rsidRDefault="009D367C">
      <w:pPr>
        <w:spacing w:line="560" w:lineRule="exact"/>
        <w:ind w:firstLine="600"/>
        <w:jc w:val="both"/>
        <w:rPr>
          <w:rFonts w:hint="eastAsia"/>
        </w:rPr>
      </w:pPr>
      <w:r>
        <w:rPr>
          <w:rFonts w:ascii="仿宋" w:eastAsia="仿宋" w:hAnsi="仿宋" w:cs="仿宋"/>
          <w:color w:val="000000"/>
          <w:sz w:val="30"/>
        </w:rPr>
        <w:t>天津市西青区统计局部门2025年财政拨款收入预算838.95万元，与上年预算相比增加37.93万元，主要原因是新招录两名参公人员。收入包括：一般公共预算拨款收入838.95万元、政府性基金预算拨款收入0万元、上年财政结转结余0万元、国有资本经营预算拨款收入0万元、2025年财政拨款支出预算838.95万元，与上年预算相比增加37.93万元，主要原因是新招录两名参公人员。支出包括：一般公共服务支出738.80万元 ；教育支出0.44万元 ；社会保障和就业支出68.16万元 ；卫生健康支出31.55万元。</w:t>
      </w:r>
    </w:p>
    <w:p w14:paraId="54B8389D" w14:textId="77777777" w:rsidR="00E1171C" w:rsidRDefault="009D367C">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3A60C77C" w14:textId="77777777" w:rsidR="00E1171C" w:rsidRDefault="009D367C">
      <w:pPr>
        <w:spacing w:line="560" w:lineRule="exact"/>
        <w:ind w:firstLine="600"/>
        <w:jc w:val="both"/>
        <w:rPr>
          <w:rFonts w:hint="eastAsia"/>
        </w:rPr>
      </w:pPr>
      <w:r>
        <w:rPr>
          <w:rFonts w:ascii="楷体" w:eastAsia="楷体" w:hAnsi="楷体" w:cs="楷体"/>
          <w:b/>
          <w:color w:val="000000"/>
          <w:sz w:val="30"/>
        </w:rPr>
        <w:t>（一）总体情况</w:t>
      </w:r>
    </w:p>
    <w:p w14:paraId="2DD1C1D4" w14:textId="77777777" w:rsidR="00E1171C" w:rsidRDefault="009D367C">
      <w:pPr>
        <w:spacing w:line="560" w:lineRule="exact"/>
        <w:ind w:firstLine="600"/>
        <w:jc w:val="both"/>
        <w:rPr>
          <w:rFonts w:hint="eastAsia"/>
        </w:rPr>
      </w:pPr>
      <w:r>
        <w:rPr>
          <w:rFonts w:ascii="仿宋" w:eastAsia="仿宋" w:hAnsi="仿宋" w:cs="仿宋"/>
          <w:color w:val="000000"/>
          <w:sz w:val="30"/>
        </w:rPr>
        <w:t>天津市西青区统计局部门2025年一般公共预算支出838.95万元(上年801.02万元），与上年预算相比增加37.93万元，主要原因是新招录两名参公人员。</w:t>
      </w:r>
    </w:p>
    <w:p w14:paraId="6305BD6D" w14:textId="77777777" w:rsidR="00E1171C" w:rsidRDefault="009D367C">
      <w:pPr>
        <w:spacing w:line="560" w:lineRule="exact"/>
        <w:ind w:firstLine="600"/>
        <w:jc w:val="both"/>
        <w:rPr>
          <w:rFonts w:hint="eastAsia"/>
        </w:rPr>
      </w:pPr>
      <w:r>
        <w:rPr>
          <w:rFonts w:ascii="楷体" w:eastAsia="楷体" w:hAnsi="楷体" w:cs="楷体"/>
          <w:b/>
          <w:color w:val="000000"/>
          <w:sz w:val="30"/>
        </w:rPr>
        <w:t>（二）具体情况</w:t>
      </w:r>
    </w:p>
    <w:p w14:paraId="6E40EF83" w14:textId="78610292" w:rsidR="00E1171C" w:rsidRDefault="009D367C">
      <w:pPr>
        <w:spacing w:line="560" w:lineRule="exact"/>
        <w:ind w:firstLine="600"/>
        <w:jc w:val="both"/>
        <w:rPr>
          <w:rFonts w:hint="eastAsia"/>
        </w:rPr>
      </w:pPr>
      <w:r>
        <w:rPr>
          <w:rFonts w:ascii="仿宋" w:eastAsia="仿宋" w:hAnsi="仿宋" w:cs="仿宋"/>
          <w:color w:val="000000"/>
          <w:sz w:val="30"/>
        </w:rPr>
        <w:t>1、“一般公共服务支出（类）”738.80万元，与上年预算相比增加36.66万元，主要原因是新招录两名参公人员。其</w:t>
      </w:r>
      <w:r>
        <w:rPr>
          <w:rFonts w:ascii="仿宋" w:eastAsia="仿宋" w:hAnsi="仿宋" w:cs="仿宋"/>
          <w:color w:val="000000"/>
          <w:sz w:val="30"/>
        </w:rPr>
        <w:lastRenderedPageBreak/>
        <w:t>中：“统计信息事务（款）”738.80万元，包括：“行政运行（统计信息事务）（项）”702.65万元，主要用于局机关和下属参公单位人员工资、补助、保险和办公支出；“一般行政管理事务（统计信息事务）（项）”2.64万元，主要用于办公设备购置支出；“专项统计业务（项）”5.21万元，主要用于统计工作调查支出；“专项普查活动（项）”28.30万元，主要用于第五次全国经济普查和全国1%人口抽样调查支出。</w:t>
      </w:r>
    </w:p>
    <w:p w14:paraId="4C316A87" w14:textId="44876E60" w:rsidR="00E1171C" w:rsidRDefault="009D367C">
      <w:pPr>
        <w:spacing w:line="560" w:lineRule="exact"/>
        <w:ind w:firstLine="600"/>
        <w:jc w:val="both"/>
        <w:rPr>
          <w:rFonts w:hint="eastAsia"/>
        </w:rPr>
      </w:pPr>
      <w:r>
        <w:rPr>
          <w:rFonts w:ascii="仿宋" w:eastAsia="仿宋" w:hAnsi="仿宋" w:cs="仿宋"/>
          <w:color w:val="000000"/>
          <w:sz w:val="30"/>
        </w:rPr>
        <w:t>2、“教育支出（类）”0.44万元，与上年预算相比增加0.06万元，主要原因是新招录两名参公人员。其中：“进修及培训（款）”0.44万元，包括：“培训支出（项）”0.44万元，主要用于职工教育培训。</w:t>
      </w:r>
    </w:p>
    <w:p w14:paraId="1ED0934A" w14:textId="77777777" w:rsidR="00E1171C" w:rsidRDefault="009D367C">
      <w:pPr>
        <w:spacing w:line="560" w:lineRule="exact"/>
        <w:ind w:firstLine="600"/>
        <w:jc w:val="both"/>
        <w:rPr>
          <w:rFonts w:hint="eastAsia"/>
        </w:rPr>
      </w:pPr>
      <w:r>
        <w:rPr>
          <w:rFonts w:ascii="仿宋" w:eastAsia="仿宋" w:hAnsi="仿宋" w:cs="仿宋"/>
          <w:color w:val="000000"/>
          <w:sz w:val="30"/>
        </w:rPr>
        <w:t>3、“社会保障和就业支出（类）”68.16万元，与上年预算相比增加1.82万元，主要原因是新招录两名参公人员。其中：“行政事业单位养老支出（款）”68.16万元，包括：“行政单位离退休（项）”5.05万元，主要用于退休人员补贴支出；“机关事业单位基本养老保险缴费支出（项）”42.07万元，主要用于在职职工养老保险缴费支出；“机关事业单位职业年金缴费支出（项）”21.04万元，主要用于在职职工年金缴费支出。</w:t>
      </w:r>
    </w:p>
    <w:p w14:paraId="42AF33FB" w14:textId="77777777" w:rsidR="00E1171C" w:rsidRDefault="009D367C">
      <w:pPr>
        <w:spacing w:line="560" w:lineRule="exact"/>
        <w:ind w:firstLine="600"/>
        <w:jc w:val="both"/>
        <w:rPr>
          <w:rFonts w:hint="eastAsia"/>
        </w:rPr>
      </w:pPr>
      <w:r>
        <w:rPr>
          <w:rFonts w:ascii="仿宋" w:eastAsia="仿宋" w:hAnsi="仿宋" w:cs="仿宋"/>
          <w:color w:val="000000"/>
          <w:sz w:val="30"/>
        </w:rPr>
        <w:t>4、“卫生健康支出（类）”31.55万元，与上年预算相比减少0.62万元，主要原因是新增退休人员。其中：“行政事业单位医疗（款）”31.55万元，包括：“行政单位医疗（项）”26.29万元，主要用于局机关和下属参公单位在职职工医疗保险缴费支出；“公务员医疗补助（项）”5.26万元，</w:t>
      </w:r>
      <w:r>
        <w:rPr>
          <w:rFonts w:ascii="仿宋" w:eastAsia="仿宋" w:hAnsi="仿宋" w:cs="仿宋"/>
          <w:color w:val="000000"/>
          <w:sz w:val="30"/>
        </w:rPr>
        <w:lastRenderedPageBreak/>
        <w:t>主要用于局机关和下属参公单位在职职工医疗保险缴费支出。</w:t>
      </w:r>
    </w:p>
    <w:p w14:paraId="566A0391" w14:textId="77777777" w:rsidR="00E1171C" w:rsidRDefault="009D367C">
      <w:pPr>
        <w:spacing w:line="560" w:lineRule="exact"/>
        <w:ind w:firstLine="600"/>
        <w:jc w:val="both"/>
        <w:rPr>
          <w:rFonts w:hint="eastAsia"/>
        </w:rPr>
      </w:pPr>
      <w:r>
        <w:rPr>
          <w:rFonts w:ascii="黑体" w:eastAsia="黑体" w:hAnsi="黑体" w:cs="黑体"/>
          <w:b/>
          <w:color w:val="000000"/>
          <w:sz w:val="30"/>
        </w:rPr>
        <w:t>六、关于一般公共预算基本支出情况表的说明</w:t>
      </w:r>
    </w:p>
    <w:p w14:paraId="3C17B448" w14:textId="77777777" w:rsidR="00E1171C" w:rsidRDefault="009D367C">
      <w:pPr>
        <w:spacing w:line="560" w:lineRule="exact"/>
        <w:ind w:firstLine="600"/>
        <w:jc w:val="both"/>
        <w:rPr>
          <w:rFonts w:hint="eastAsia"/>
        </w:rPr>
      </w:pPr>
      <w:r>
        <w:rPr>
          <w:rFonts w:ascii="仿宋" w:eastAsia="仿宋" w:hAnsi="仿宋" w:cs="仿宋"/>
          <w:color w:val="000000"/>
          <w:sz w:val="30"/>
        </w:rPr>
        <w:t>天津市西青区统计局部门2025年一般公共预算基本支出 805.44万元，与上年预算相比增加98.21万元，主要原因是新招录两名参公人员。其中：人员经费 692.72万元，主要包括：基本工资、津贴补贴、奖金、机关事业单位基本养老保险缴费、职业年金缴费、职工基本医疗保险缴费、公务员医疗补助缴费、其他社会保障缴费、住房公积金、其他工资福利支出、退休费、奖励金、其他对个人和家庭的补助等；</w:t>
      </w:r>
    </w:p>
    <w:p w14:paraId="746C097E" w14:textId="77777777" w:rsidR="00E1171C" w:rsidRDefault="009D367C">
      <w:pPr>
        <w:spacing w:line="560" w:lineRule="exact"/>
        <w:ind w:firstLine="600"/>
        <w:jc w:val="both"/>
        <w:rPr>
          <w:rFonts w:hint="eastAsia"/>
        </w:rPr>
      </w:pPr>
      <w:r>
        <w:rPr>
          <w:rFonts w:ascii="仿宋" w:eastAsia="仿宋" w:hAnsi="仿宋" w:cs="仿宋"/>
          <w:color w:val="000000"/>
          <w:sz w:val="30"/>
        </w:rPr>
        <w:t>公用经费112.72万元，主要包括：办公费、水费、电费、邮电费、取暖费、物业管理费、差旅费、维修（护）费、培训费、委托业务费、工会经费、福利费、其他交通费用、其他商品和服务支出、办公设备购置等。</w:t>
      </w:r>
    </w:p>
    <w:p w14:paraId="6FB510B8" w14:textId="77777777" w:rsidR="00E1171C" w:rsidRDefault="009D367C">
      <w:pPr>
        <w:spacing w:line="560" w:lineRule="exact"/>
        <w:ind w:firstLine="600"/>
        <w:jc w:val="both"/>
        <w:rPr>
          <w:rFonts w:hint="eastAsia"/>
        </w:rPr>
      </w:pPr>
      <w:r>
        <w:rPr>
          <w:rFonts w:ascii="黑体" w:eastAsia="黑体" w:hAnsi="黑体" w:cs="黑体"/>
          <w:b/>
          <w:color w:val="000000"/>
          <w:sz w:val="30"/>
        </w:rPr>
        <w:t>七、关于一般公共预算“三公”经费支出情况表的说明</w:t>
      </w:r>
      <w:r>
        <w:rPr>
          <w:rFonts w:ascii="仿宋" w:eastAsia="仿宋" w:hAnsi="仿宋" w:cs="仿宋"/>
          <w:color w:val="000000"/>
          <w:sz w:val="30"/>
        </w:rPr>
        <w:t>2025年一般公共预算“三公”经费安排0万元，与2024年预算相比增加0.00万元，主要原因是本部门一般公共预算未安排“三公”经费。</w:t>
      </w:r>
    </w:p>
    <w:p w14:paraId="104F5D0E" w14:textId="77777777" w:rsidR="00E1171C" w:rsidRDefault="009D367C">
      <w:pPr>
        <w:spacing w:line="560" w:lineRule="exact"/>
        <w:ind w:firstLine="600"/>
        <w:jc w:val="both"/>
        <w:rPr>
          <w:rFonts w:hint="eastAsia"/>
        </w:rPr>
      </w:pPr>
      <w:r>
        <w:rPr>
          <w:rFonts w:ascii="仿宋" w:eastAsia="仿宋" w:hAnsi="仿宋" w:cs="仿宋"/>
          <w:color w:val="000000"/>
          <w:sz w:val="30"/>
        </w:rPr>
        <w:t>具体情况：</w:t>
      </w:r>
    </w:p>
    <w:p w14:paraId="4FB19F74" w14:textId="77777777" w:rsidR="00E1171C" w:rsidRDefault="009D367C">
      <w:pPr>
        <w:spacing w:line="560" w:lineRule="exact"/>
        <w:ind w:firstLine="600"/>
        <w:jc w:val="both"/>
        <w:rPr>
          <w:rFonts w:hint="eastAsia"/>
        </w:rPr>
      </w:pPr>
      <w:r>
        <w:rPr>
          <w:rFonts w:ascii="仿宋" w:eastAsia="仿宋" w:hAnsi="仿宋" w:cs="仿宋"/>
          <w:color w:val="000000"/>
          <w:sz w:val="30"/>
        </w:rPr>
        <w:t>一、2025年因公出国（境）费预算0万元，与2024年预算相比增加0.00万元，主要原因是本部门一般公共预算未安排“三公”经费。</w:t>
      </w:r>
    </w:p>
    <w:p w14:paraId="6C3EF5E9" w14:textId="77777777" w:rsidR="00E1171C" w:rsidRDefault="009D367C">
      <w:pPr>
        <w:spacing w:line="560" w:lineRule="exact"/>
        <w:ind w:firstLine="600"/>
        <w:jc w:val="both"/>
        <w:rPr>
          <w:rFonts w:hint="eastAsia"/>
        </w:rPr>
      </w:pPr>
      <w:r>
        <w:rPr>
          <w:rFonts w:ascii="仿宋" w:eastAsia="仿宋" w:hAnsi="仿宋" w:cs="仿宋"/>
          <w:color w:val="000000"/>
          <w:sz w:val="30"/>
        </w:rPr>
        <w:t>二、2025年公务用车购置及运行费预算0万元，</w:t>
      </w:r>
    </w:p>
    <w:p w14:paraId="466CE481" w14:textId="77777777" w:rsidR="00E1171C" w:rsidRDefault="009D367C">
      <w:pPr>
        <w:spacing w:line="560" w:lineRule="exact"/>
        <w:ind w:firstLine="600"/>
        <w:jc w:val="both"/>
        <w:rPr>
          <w:rFonts w:hint="eastAsia"/>
        </w:rPr>
      </w:pPr>
      <w:r>
        <w:rPr>
          <w:rFonts w:ascii="仿宋" w:eastAsia="仿宋" w:hAnsi="仿宋" w:cs="仿宋"/>
          <w:color w:val="000000"/>
          <w:sz w:val="30"/>
        </w:rPr>
        <w:lastRenderedPageBreak/>
        <w:t>其中公务用车运行费0万元，与2024年预算相比增加0万元，主要原因是本部门一般公共预算未安排“三公”经费；公务用车购置费0万元，与2024年预算相比增加0万元，主要原因是本部门一般公共预算未安排“三公”经费。</w:t>
      </w:r>
    </w:p>
    <w:p w14:paraId="5A870240" w14:textId="77777777" w:rsidR="00E1171C" w:rsidRDefault="009D367C">
      <w:pPr>
        <w:spacing w:line="560" w:lineRule="exact"/>
        <w:ind w:firstLine="600"/>
        <w:jc w:val="both"/>
        <w:rPr>
          <w:rFonts w:hint="eastAsia"/>
        </w:rPr>
      </w:pPr>
      <w:r>
        <w:rPr>
          <w:rFonts w:ascii="仿宋" w:eastAsia="仿宋" w:hAnsi="仿宋" w:cs="仿宋"/>
          <w:color w:val="000000"/>
          <w:sz w:val="30"/>
        </w:rPr>
        <w:t>三、2025年公务接待费预算0万元，与2024年预算相比增加0万元，主要原因是本部门一般公共预算未安排“三公”经费。</w:t>
      </w:r>
    </w:p>
    <w:p w14:paraId="086E45D8" w14:textId="77777777" w:rsidR="00E1171C" w:rsidRDefault="009D367C">
      <w:pPr>
        <w:spacing w:line="560" w:lineRule="exact"/>
        <w:ind w:firstLine="600"/>
        <w:jc w:val="both"/>
        <w:rPr>
          <w:rFonts w:hint="eastAsia"/>
        </w:rPr>
      </w:pPr>
      <w:r>
        <w:rPr>
          <w:rFonts w:ascii="黑体" w:eastAsia="黑体" w:hAnsi="黑体" w:cs="黑体"/>
          <w:b/>
          <w:color w:val="000000"/>
          <w:sz w:val="30"/>
        </w:rPr>
        <w:t>八、关于政府性基金预算支出情况表的说明</w:t>
      </w:r>
    </w:p>
    <w:p w14:paraId="097A14DD" w14:textId="77777777" w:rsidR="00E1171C" w:rsidRDefault="009D367C">
      <w:pPr>
        <w:spacing w:line="560" w:lineRule="exact"/>
        <w:ind w:firstLine="600"/>
        <w:jc w:val="both"/>
        <w:rPr>
          <w:rFonts w:hint="eastAsia"/>
        </w:rPr>
      </w:pPr>
      <w:r>
        <w:rPr>
          <w:rFonts w:ascii="仿宋" w:eastAsia="仿宋" w:hAnsi="仿宋" w:cs="仿宋"/>
          <w:color w:val="000000"/>
          <w:sz w:val="30"/>
        </w:rPr>
        <w:t>2025年天津市西青区统计局部门预算中没有使用政府性基金预算安排的支出。</w:t>
      </w:r>
    </w:p>
    <w:p w14:paraId="2B7F07E7" w14:textId="77777777" w:rsidR="00E1171C" w:rsidRDefault="009D367C">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435EE370" w14:textId="5A0D98D6" w:rsidR="00E1171C" w:rsidRDefault="009D367C">
      <w:pPr>
        <w:spacing w:line="560" w:lineRule="exact"/>
        <w:ind w:firstLine="600"/>
        <w:jc w:val="both"/>
        <w:rPr>
          <w:rFonts w:hint="eastAsia"/>
        </w:rPr>
      </w:pPr>
      <w:r>
        <w:rPr>
          <w:rFonts w:ascii="仿宋" w:eastAsia="仿宋" w:hAnsi="仿宋" w:cs="仿宋"/>
          <w:color w:val="000000"/>
          <w:sz w:val="30"/>
        </w:rPr>
        <w:t>2025年天津市西青区统计局部门预算中没有使用国有资本经营预算安排的支出。</w:t>
      </w:r>
    </w:p>
    <w:p w14:paraId="2A481435" w14:textId="77777777" w:rsidR="00E1171C" w:rsidRDefault="009D367C">
      <w:pPr>
        <w:spacing w:line="560" w:lineRule="exact"/>
        <w:ind w:firstLine="600"/>
        <w:jc w:val="both"/>
        <w:rPr>
          <w:rFonts w:hint="eastAsia"/>
        </w:rPr>
      </w:pPr>
      <w:r>
        <w:rPr>
          <w:rFonts w:ascii="黑体" w:eastAsia="黑体" w:hAnsi="黑体" w:cs="黑体"/>
          <w:b/>
          <w:color w:val="000000"/>
          <w:sz w:val="30"/>
        </w:rPr>
        <w:t>十、其他重要事项的情况说明</w:t>
      </w:r>
    </w:p>
    <w:p w14:paraId="2A3C0AE6" w14:textId="77777777" w:rsidR="00E1171C" w:rsidRDefault="009D367C">
      <w:pPr>
        <w:spacing w:line="560" w:lineRule="exact"/>
        <w:ind w:firstLine="600"/>
        <w:jc w:val="both"/>
        <w:rPr>
          <w:rFonts w:hint="eastAsia"/>
        </w:rPr>
      </w:pPr>
      <w:r>
        <w:rPr>
          <w:rFonts w:ascii="楷体" w:eastAsia="楷体" w:hAnsi="楷体" w:cs="楷体"/>
          <w:b/>
          <w:color w:val="000000"/>
          <w:sz w:val="30"/>
        </w:rPr>
        <w:t>（一）机关运行经费。</w:t>
      </w:r>
    </w:p>
    <w:p w14:paraId="5C7AE4A2" w14:textId="77777777" w:rsidR="00E1171C" w:rsidRDefault="009D367C">
      <w:pPr>
        <w:spacing w:line="560" w:lineRule="exact"/>
        <w:ind w:firstLine="600"/>
        <w:jc w:val="both"/>
        <w:rPr>
          <w:rFonts w:hint="eastAsia"/>
        </w:rPr>
      </w:pPr>
      <w:r>
        <w:rPr>
          <w:rFonts w:ascii="仿宋" w:eastAsia="仿宋" w:hAnsi="仿宋" w:cs="仿宋"/>
          <w:color w:val="000000"/>
          <w:sz w:val="30"/>
        </w:rPr>
        <w:t>本部门2025年天津市西青区统计局1家行政单位以及天津市西青区统计局普查中心1家参公管理事业单位的机关运行经费预算112.72万元，包括办公费10.75万元、水费1.54万元、电费2.64万元、邮电费1.54万元、取暖费4.37万元、物业管理费30.43万元、差旅费1.85万元、维修(护)费1.87万元、培训费0.44万元、委托业务费2.40万元、工会经费7.84万元、福利费4.30万元、其他交通费用17.82万元、其他商品和服务</w:t>
      </w:r>
      <w:r>
        <w:rPr>
          <w:rFonts w:ascii="仿宋" w:eastAsia="仿宋" w:hAnsi="仿宋" w:cs="仿宋"/>
          <w:color w:val="000000"/>
          <w:sz w:val="30"/>
        </w:rPr>
        <w:lastRenderedPageBreak/>
        <w:t>支出22.29万元、办公设备购置2.64万元 。</w:t>
      </w:r>
    </w:p>
    <w:p w14:paraId="71A1F4D6" w14:textId="77777777" w:rsidR="00E1171C" w:rsidRDefault="009D367C">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2025年安排政府采购预算53.72万元，其中：政府采购货物支出1万元、政府采购工程支出0万元、政府采购服务支出52.72万元。主要项目是：采购复印纸1万元，餐费和物业费由发改委牵头统一政府采购服务52.72万元</w:t>
      </w:r>
    </w:p>
    <w:p w14:paraId="6D3ABBB6" w14:textId="77777777" w:rsidR="00E1171C" w:rsidRDefault="009D367C">
      <w:pPr>
        <w:spacing w:line="560" w:lineRule="exact"/>
        <w:ind w:firstLine="600"/>
        <w:jc w:val="both"/>
        <w:rPr>
          <w:rFonts w:hint="eastAsia"/>
        </w:rPr>
      </w:pPr>
      <w:r>
        <w:rPr>
          <w:rFonts w:ascii="楷体" w:eastAsia="楷体" w:hAnsi="楷体" w:cs="楷体"/>
          <w:b/>
          <w:color w:val="000000"/>
          <w:sz w:val="30"/>
        </w:rPr>
        <w:t>（三）国有资产占用情况</w:t>
      </w:r>
    </w:p>
    <w:p w14:paraId="01402CA2" w14:textId="77777777" w:rsidR="00E1171C" w:rsidRDefault="009D367C">
      <w:pPr>
        <w:spacing w:line="560" w:lineRule="exact"/>
        <w:ind w:firstLine="600"/>
        <w:jc w:val="both"/>
        <w:rPr>
          <w:rFonts w:hint="eastAsia"/>
        </w:rPr>
      </w:pPr>
      <w:r>
        <w:rPr>
          <w:rFonts w:ascii="仿宋" w:eastAsia="仿宋" w:hAnsi="仿宋" w:cs="仿宋"/>
          <w:color w:val="000000"/>
          <w:sz w:val="30"/>
        </w:rPr>
        <w:t>截至2024年12月底，本部门各单位共有车辆0辆、其中：副部（省）级及以上领导用车0辆、主要负责人干部用车0辆、机要通信用车0辆、应急保障用车0辆、执法执勤用车0辆、特种专业技术用车0辆、离退休干部用车0辆、其他用车0辆，其他用车主要包括0。单价（账面原值）100万以上的设备0台（套）。</w:t>
      </w:r>
    </w:p>
    <w:p w14:paraId="15FCEB8A" w14:textId="77777777" w:rsidR="00E1171C" w:rsidRDefault="009D367C">
      <w:pPr>
        <w:spacing w:line="560" w:lineRule="exact"/>
        <w:ind w:firstLine="600"/>
        <w:jc w:val="both"/>
        <w:rPr>
          <w:rFonts w:hint="eastAsia"/>
        </w:rPr>
      </w:pPr>
      <w:r>
        <w:rPr>
          <w:rFonts w:ascii="楷体" w:eastAsia="楷体" w:hAnsi="楷体" w:cs="楷体"/>
          <w:b/>
          <w:color w:val="000000"/>
          <w:sz w:val="30"/>
        </w:rPr>
        <w:t>（四）预算绩效情况说明。</w:t>
      </w:r>
    </w:p>
    <w:p w14:paraId="22E4D8D0" w14:textId="77777777" w:rsidR="00E1171C" w:rsidRDefault="009D367C">
      <w:pPr>
        <w:spacing w:line="560" w:lineRule="exact"/>
        <w:ind w:firstLine="600"/>
        <w:jc w:val="both"/>
        <w:rPr>
          <w:rFonts w:hint="eastAsia"/>
        </w:rPr>
      </w:pPr>
      <w:r>
        <w:rPr>
          <w:rFonts w:ascii="仿宋" w:eastAsia="仿宋" w:hAnsi="仿宋" w:cs="仿宋"/>
          <w:color w:val="000000"/>
          <w:sz w:val="30"/>
        </w:rPr>
        <w:t>天津市西青区统计局部门2025年实行绩效目标管理的项目3个，涉及预算金额33.51万元。</w:t>
      </w:r>
    </w:p>
    <w:p w14:paraId="405E7413" w14:textId="77777777" w:rsidR="00E1171C" w:rsidRDefault="009D367C">
      <w:pPr>
        <w:pageBreakBefore/>
        <w:spacing w:line="560" w:lineRule="exact"/>
        <w:jc w:val="center"/>
        <w:rPr>
          <w:rFonts w:hint="eastAsia"/>
        </w:rPr>
      </w:pPr>
      <w:r>
        <w:rPr>
          <w:rFonts w:ascii="黑体" w:eastAsia="黑体" w:hAnsi="黑体" w:cs="黑体"/>
          <w:b/>
          <w:color w:val="000000"/>
          <w:sz w:val="32"/>
        </w:rPr>
        <w:lastRenderedPageBreak/>
        <w:t>第三部分  名词解释</w:t>
      </w:r>
    </w:p>
    <w:p w14:paraId="0297CA32" w14:textId="77777777" w:rsidR="00E1171C" w:rsidRDefault="009D367C">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14348E53" w14:textId="77777777" w:rsidR="00E1171C" w:rsidRDefault="009D367C">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3F44B56F" w14:textId="77777777" w:rsidR="00E1171C" w:rsidRDefault="009D367C">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color w:val="000000"/>
          <w:sz w:val="28"/>
        </w:rPr>
        <w:t>指在基本支出之外为完成特定行政任务和事业发展目标所发生的支出。</w:t>
      </w:r>
    </w:p>
    <w:p w14:paraId="49F14568" w14:textId="77777777" w:rsidR="00E1171C" w:rsidRDefault="009D367C">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80077B4" w14:textId="77777777" w:rsidR="00E1171C" w:rsidRDefault="009D367C">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   2025年部门预算表</w:t>
      </w:r>
    </w:p>
    <w:p w14:paraId="54FD14D3" w14:textId="77777777" w:rsidR="00E1171C" w:rsidRDefault="009D367C">
      <w:pPr>
        <w:spacing w:line="560" w:lineRule="exact"/>
        <w:jc w:val="both"/>
        <w:rPr>
          <w:rFonts w:hint="eastAsia"/>
        </w:rPr>
      </w:pPr>
      <w:r>
        <w:rPr>
          <w:rFonts w:ascii="楷体" w:eastAsia="楷体" w:hAnsi="楷体" w:cs="楷体"/>
          <w:b/>
          <w:color w:val="000000"/>
          <w:sz w:val="30"/>
        </w:rPr>
        <w:t>一、《部门收支总体情况表》</w:t>
      </w:r>
    </w:p>
    <w:p w14:paraId="0C14B3BA" w14:textId="77777777" w:rsidR="00E1171C" w:rsidRDefault="009D367C">
      <w:pPr>
        <w:spacing w:line="560" w:lineRule="exact"/>
        <w:jc w:val="both"/>
        <w:rPr>
          <w:rFonts w:hint="eastAsia"/>
        </w:rPr>
      </w:pPr>
      <w:r>
        <w:rPr>
          <w:rFonts w:ascii="楷体" w:eastAsia="楷体" w:hAnsi="楷体" w:cs="楷体"/>
          <w:b/>
          <w:color w:val="000000"/>
          <w:sz w:val="30"/>
        </w:rPr>
        <w:t>二、《部门收入总体情况表》</w:t>
      </w:r>
    </w:p>
    <w:p w14:paraId="113FAE94" w14:textId="77777777" w:rsidR="00E1171C" w:rsidRDefault="009D367C">
      <w:pPr>
        <w:spacing w:line="560" w:lineRule="exact"/>
        <w:jc w:val="both"/>
        <w:rPr>
          <w:rFonts w:hint="eastAsia"/>
        </w:rPr>
      </w:pPr>
      <w:r>
        <w:rPr>
          <w:rFonts w:ascii="楷体" w:eastAsia="楷体" w:hAnsi="楷体" w:cs="楷体"/>
          <w:b/>
          <w:color w:val="000000"/>
          <w:sz w:val="30"/>
        </w:rPr>
        <w:t>三、《部门支出总体情况表》</w:t>
      </w:r>
    </w:p>
    <w:p w14:paraId="53192C98" w14:textId="77777777" w:rsidR="00E1171C" w:rsidRDefault="009D367C">
      <w:pPr>
        <w:spacing w:line="560" w:lineRule="exact"/>
        <w:jc w:val="both"/>
        <w:rPr>
          <w:rFonts w:hint="eastAsia"/>
        </w:rPr>
      </w:pPr>
      <w:r>
        <w:rPr>
          <w:rFonts w:ascii="楷体" w:eastAsia="楷体" w:hAnsi="楷体" w:cs="楷体"/>
          <w:b/>
          <w:color w:val="000000"/>
          <w:sz w:val="30"/>
        </w:rPr>
        <w:t>四、《财政拨款收支总体情况表》</w:t>
      </w:r>
    </w:p>
    <w:p w14:paraId="07D0B257" w14:textId="77777777" w:rsidR="00E1171C" w:rsidRDefault="009D367C">
      <w:pPr>
        <w:spacing w:line="560" w:lineRule="exact"/>
        <w:jc w:val="both"/>
        <w:rPr>
          <w:rFonts w:hint="eastAsia"/>
        </w:rPr>
      </w:pPr>
      <w:r>
        <w:rPr>
          <w:rFonts w:ascii="楷体" w:eastAsia="楷体" w:hAnsi="楷体" w:cs="楷体"/>
          <w:b/>
          <w:color w:val="000000"/>
          <w:sz w:val="30"/>
        </w:rPr>
        <w:t>五、《一般公共预算支出情况表》</w:t>
      </w:r>
    </w:p>
    <w:p w14:paraId="6C567564" w14:textId="77777777" w:rsidR="00E1171C" w:rsidRDefault="009D367C">
      <w:pPr>
        <w:spacing w:line="560" w:lineRule="exact"/>
        <w:jc w:val="both"/>
        <w:rPr>
          <w:rFonts w:hint="eastAsia"/>
        </w:rPr>
      </w:pPr>
      <w:r>
        <w:rPr>
          <w:rFonts w:ascii="楷体" w:eastAsia="楷体" w:hAnsi="楷体" w:cs="楷体"/>
          <w:b/>
          <w:color w:val="000000"/>
          <w:sz w:val="30"/>
        </w:rPr>
        <w:t>六、《一般公共预算基本支出情况表》</w:t>
      </w:r>
    </w:p>
    <w:p w14:paraId="4BE26999" w14:textId="77777777" w:rsidR="00E1171C" w:rsidRDefault="009D367C">
      <w:pPr>
        <w:spacing w:line="560" w:lineRule="exact"/>
        <w:jc w:val="both"/>
        <w:rPr>
          <w:rFonts w:hint="eastAsia"/>
        </w:rPr>
      </w:pPr>
      <w:r>
        <w:rPr>
          <w:rFonts w:ascii="楷体" w:eastAsia="楷体" w:hAnsi="楷体" w:cs="楷体"/>
          <w:b/>
          <w:color w:val="000000"/>
          <w:sz w:val="30"/>
        </w:rPr>
        <w:t>七、《一般公共预算“三公”经费支出情况表》</w:t>
      </w:r>
    </w:p>
    <w:p w14:paraId="47F9FE8E" w14:textId="77777777" w:rsidR="00E1171C" w:rsidRDefault="009D367C">
      <w:pPr>
        <w:spacing w:line="560" w:lineRule="exact"/>
        <w:jc w:val="both"/>
        <w:rPr>
          <w:rFonts w:hint="eastAsia"/>
        </w:rPr>
      </w:pPr>
      <w:r>
        <w:rPr>
          <w:rFonts w:ascii="楷体" w:eastAsia="楷体" w:hAnsi="楷体" w:cs="楷体"/>
          <w:b/>
          <w:color w:val="000000"/>
          <w:sz w:val="30"/>
        </w:rPr>
        <w:t>八、《政府性基金预算支出情况表》</w:t>
      </w:r>
    </w:p>
    <w:p w14:paraId="5CA75D9C" w14:textId="77777777" w:rsidR="00E1171C" w:rsidRDefault="009D367C">
      <w:pPr>
        <w:spacing w:line="560" w:lineRule="exact"/>
        <w:jc w:val="both"/>
        <w:rPr>
          <w:rFonts w:hint="eastAsia"/>
        </w:rPr>
      </w:pPr>
      <w:r>
        <w:rPr>
          <w:rFonts w:ascii="楷体" w:eastAsia="楷体" w:hAnsi="楷体" w:cs="楷体"/>
          <w:b/>
          <w:color w:val="000000"/>
          <w:sz w:val="30"/>
        </w:rPr>
        <w:t>九、《国有资本经营预算支出情况表》</w:t>
      </w:r>
    </w:p>
    <w:p w14:paraId="1BBF0337" w14:textId="77777777" w:rsidR="00E1171C" w:rsidRDefault="009D367C">
      <w:pPr>
        <w:spacing w:line="560" w:lineRule="exact"/>
        <w:jc w:val="both"/>
        <w:rPr>
          <w:rFonts w:hint="eastAsia"/>
        </w:rPr>
      </w:pPr>
      <w:r>
        <w:rPr>
          <w:rFonts w:ascii="楷体" w:eastAsia="楷体" w:hAnsi="楷体" w:cs="楷体"/>
          <w:b/>
          <w:color w:val="000000"/>
          <w:sz w:val="30"/>
        </w:rPr>
        <w:t>十、《项目支出表》</w:t>
      </w:r>
    </w:p>
    <w:p w14:paraId="09EB0AC8" w14:textId="77777777" w:rsidR="00E1171C" w:rsidRDefault="009D367C">
      <w:pPr>
        <w:spacing w:line="560" w:lineRule="exact"/>
        <w:jc w:val="both"/>
        <w:rPr>
          <w:rFonts w:hint="eastAsia"/>
        </w:rPr>
      </w:pPr>
      <w:r>
        <w:rPr>
          <w:rFonts w:ascii="楷体" w:eastAsia="楷体" w:hAnsi="楷体" w:cs="楷体"/>
          <w:b/>
          <w:color w:val="000000"/>
          <w:sz w:val="30"/>
        </w:rPr>
        <w:t>十一、关于空表说明</w:t>
      </w:r>
    </w:p>
    <w:p w14:paraId="19095E2B" w14:textId="77777777" w:rsidR="00E1171C" w:rsidRDefault="009D367C">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176E645A" w14:textId="77777777" w:rsidR="00E1171C" w:rsidRDefault="009D367C">
      <w:pPr>
        <w:spacing w:line="560" w:lineRule="exact"/>
        <w:ind w:firstLine="600"/>
        <w:jc w:val="both"/>
        <w:rPr>
          <w:rFonts w:hint="eastAsia"/>
        </w:rPr>
      </w:pPr>
      <w:r>
        <w:rPr>
          <w:rFonts w:ascii="仿宋" w:eastAsia="仿宋" w:hAnsi="仿宋" w:cs="仿宋"/>
          <w:color w:val="000000"/>
          <w:sz w:val="30"/>
        </w:rPr>
        <w:t>本部门2025年一般公共预算“三公”经费支出情况表为空表</w:t>
      </w:r>
    </w:p>
    <w:p w14:paraId="010C842D" w14:textId="77777777" w:rsidR="00E1171C" w:rsidRDefault="009D367C">
      <w:pPr>
        <w:spacing w:line="560" w:lineRule="exact"/>
        <w:ind w:firstLine="600"/>
        <w:jc w:val="both"/>
        <w:rPr>
          <w:rFonts w:hint="eastAsia"/>
        </w:rPr>
      </w:pPr>
      <w:r>
        <w:rPr>
          <w:rFonts w:ascii="仿宋" w:eastAsia="仿宋" w:hAnsi="仿宋" w:cs="仿宋"/>
          <w:color w:val="000000"/>
          <w:sz w:val="30"/>
        </w:rPr>
        <w:t>本部门2025年政府性基金预算支出情况表为空表</w:t>
      </w:r>
    </w:p>
    <w:p w14:paraId="58375DA8" w14:textId="77777777" w:rsidR="00E1171C" w:rsidRDefault="009D367C">
      <w:pPr>
        <w:spacing w:line="560" w:lineRule="exact"/>
        <w:ind w:firstLine="600"/>
        <w:jc w:val="both"/>
        <w:rPr>
          <w:rFonts w:hint="eastAsia"/>
        </w:rPr>
      </w:pPr>
      <w:r>
        <w:rPr>
          <w:rFonts w:ascii="仿宋" w:eastAsia="仿宋" w:hAnsi="仿宋" w:cs="仿宋"/>
          <w:color w:val="000000"/>
          <w:sz w:val="30"/>
        </w:rPr>
        <w:t>本部门2025年国有资本经营预算支出情况表为空表</w:t>
      </w:r>
    </w:p>
    <w:sectPr w:rsidR="00E117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1171C"/>
    <w:rsid w:val="007531C3"/>
    <w:rsid w:val="009D367C"/>
    <w:rsid w:val="00B25A26"/>
    <w:rsid w:val="00C40CF4"/>
    <w:rsid w:val="00C94000"/>
    <w:rsid w:val="00E11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1B6D5"/>
  <w15:docId w15:val="{5D22625D-A274-4BA8-865B-E7AB6ACA3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732</Words>
  <Characters>4174</Characters>
  <Application>Microsoft Office Word</Application>
  <DocSecurity>0</DocSecurity>
  <Lines>34</Lines>
  <Paragraphs>9</Paragraphs>
  <ScaleCrop>false</ScaleCrop>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4</cp:revision>
  <dcterms:created xsi:type="dcterms:W3CDTF">2025-03-18T02:06:00Z</dcterms:created>
  <dcterms:modified xsi:type="dcterms:W3CDTF">2025-03-26T02:37:00Z</dcterms:modified>
</cp:coreProperties>
</file>