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BDCE" w14:textId="77777777" w:rsidR="00974B7C" w:rsidRDefault="00D717BE">
      <w:pPr>
        <w:spacing w:line="2600" w:lineRule="exact"/>
        <w:jc w:val="center"/>
        <w:rPr>
          <w:rFonts w:hint="eastAsia"/>
        </w:rPr>
      </w:pPr>
      <w:r>
        <w:rPr>
          <w:rFonts w:ascii="FZXiaoBiaoSong-B05S" w:eastAsia="FZXiaoBiaoSong-B05S" w:hAnsi="FZXiaoBiaoSong-B05S" w:cs="FZXiaoBiaoSong-B05S"/>
          <w:b/>
          <w:color w:val="000000"/>
          <w:sz w:val="48"/>
        </w:rPr>
        <w:t>天津市西青区人力资源和社会保障局</w:t>
      </w:r>
      <w:r>
        <w:rPr>
          <w:rFonts w:ascii="FZXiaoBiaoSong-B05S" w:eastAsia="FZXiaoBiaoSong-B05S" w:hAnsi="FZXiaoBiaoSong-B05S" w:cs="FZXiaoBiaoSong-B05S"/>
          <w:b/>
          <w:color w:val="000000"/>
          <w:sz w:val="48"/>
        </w:rPr>
        <w:br/>
        <w:t>2025年度单位预算公开</w:t>
      </w:r>
    </w:p>
    <w:p w14:paraId="60B275FB" w14:textId="77777777" w:rsidR="00974B7C" w:rsidRDefault="00D717BE">
      <w:pPr>
        <w:pageBreakBefore/>
        <w:spacing w:line="560" w:lineRule="exact"/>
        <w:jc w:val="center"/>
        <w:rPr>
          <w:rFonts w:hint="eastAsia"/>
        </w:rPr>
      </w:pPr>
      <w:r>
        <w:rPr>
          <w:rFonts w:ascii="黑体" w:eastAsia="黑体" w:hAnsi="黑体" w:cs="黑体"/>
          <w:b/>
          <w:color w:val="000000"/>
          <w:sz w:val="44"/>
        </w:rPr>
        <w:lastRenderedPageBreak/>
        <w:t>目    录</w:t>
      </w:r>
    </w:p>
    <w:p w14:paraId="3964F879" w14:textId="77777777" w:rsidR="00974B7C" w:rsidRDefault="00D717BE">
      <w:pPr>
        <w:spacing w:line="560" w:lineRule="exact"/>
        <w:ind w:firstLine="900"/>
        <w:jc w:val="both"/>
        <w:rPr>
          <w:rFonts w:hint="eastAsia"/>
        </w:rPr>
      </w:pPr>
      <w:r>
        <w:rPr>
          <w:rFonts w:ascii="仿宋" w:eastAsia="仿宋" w:hAnsi="仿宋" w:cs="仿宋"/>
          <w:b/>
          <w:color w:val="000000"/>
          <w:sz w:val="30"/>
        </w:rPr>
        <w:t>第一部分  概况</w:t>
      </w:r>
    </w:p>
    <w:p w14:paraId="719D0F13" w14:textId="77777777" w:rsidR="00974B7C" w:rsidRDefault="00D717BE">
      <w:pPr>
        <w:spacing w:line="560" w:lineRule="exact"/>
        <w:ind w:firstLine="900"/>
        <w:jc w:val="both"/>
        <w:rPr>
          <w:rFonts w:hint="eastAsia"/>
        </w:rPr>
      </w:pPr>
      <w:r>
        <w:rPr>
          <w:rFonts w:ascii="仿宋" w:eastAsia="仿宋" w:hAnsi="仿宋" w:cs="仿宋"/>
          <w:color w:val="000000"/>
          <w:sz w:val="30"/>
        </w:rPr>
        <w:t>一、主要职责</w:t>
      </w:r>
    </w:p>
    <w:p w14:paraId="315832EE" w14:textId="77777777" w:rsidR="00974B7C" w:rsidRDefault="00D717BE">
      <w:pPr>
        <w:spacing w:line="560" w:lineRule="exact"/>
        <w:ind w:firstLine="900"/>
        <w:jc w:val="both"/>
        <w:rPr>
          <w:rFonts w:hint="eastAsia"/>
        </w:rPr>
      </w:pPr>
      <w:r>
        <w:rPr>
          <w:rFonts w:ascii="仿宋" w:eastAsia="仿宋" w:hAnsi="仿宋" w:cs="仿宋"/>
          <w:color w:val="000000"/>
          <w:sz w:val="30"/>
        </w:rPr>
        <w:t>二、机构设置情况</w:t>
      </w:r>
    </w:p>
    <w:p w14:paraId="1FA6A503" w14:textId="77777777" w:rsidR="00974B7C" w:rsidRDefault="00D717BE">
      <w:pPr>
        <w:spacing w:line="560" w:lineRule="exact"/>
        <w:ind w:firstLine="900"/>
        <w:jc w:val="both"/>
        <w:rPr>
          <w:rFonts w:hint="eastAsia"/>
        </w:rPr>
      </w:pPr>
      <w:r>
        <w:rPr>
          <w:rFonts w:ascii="仿宋" w:eastAsia="仿宋" w:hAnsi="仿宋" w:cs="仿宋"/>
          <w:b/>
          <w:color w:val="000000"/>
          <w:sz w:val="30"/>
        </w:rPr>
        <w:t>第二部分  2025年单位情况说明</w:t>
      </w:r>
    </w:p>
    <w:p w14:paraId="571521AE" w14:textId="77777777" w:rsidR="00974B7C" w:rsidRDefault="00D717BE">
      <w:pPr>
        <w:spacing w:line="560" w:lineRule="exact"/>
        <w:ind w:firstLine="900"/>
        <w:jc w:val="both"/>
        <w:rPr>
          <w:rFonts w:hint="eastAsia"/>
        </w:rPr>
      </w:pPr>
      <w:r>
        <w:rPr>
          <w:rFonts w:ascii="仿宋" w:eastAsia="仿宋" w:hAnsi="仿宋" w:cs="仿宋"/>
          <w:color w:val="000000"/>
          <w:sz w:val="30"/>
        </w:rPr>
        <w:t>一、关于收支总体情况表的说明</w:t>
      </w:r>
    </w:p>
    <w:p w14:paraId="60B9F5E3" w14:textId="77777777" w:rsidR="00974B7C" w:rsidRDefault="00D717BE">
      <w:pPr>
        <w:spacing w:line="560" w:lineRule="exact"/>
        <w:ind w:firstLine="900"/>
        <w:jc w:val="both"/>
        <w:rPr>
          <w:rFonts w:hint="eastAsia"/>
        </w:rPr>
      </w:pPr>
      <w:r>
        <w:rPr>
          <w:rFonts w:ascii="仿宋" w:eastAsia="仿宋" w:hAnsi="仿宋" w:cs="仿宋"/>
          <w:color w:val="000000"/>
          <w:sz w:val="30"/>
        </w:rPr>
        <w:t>二、关于收入总体情况表的说明</w:t>
      </w:r>
    </w:p>
    <w:p w14:paraId="591AF1F6" w14:textId="77777777" w:rsidR="00974B7C" w:rsidRDefault="00D717BE">
      <w:pPr>
        <w:spacing w:line="560" w:lineRule="exact"/>
        <w:ind w:firstLine="900"/>
        <w:jc w:val="both"/>
        <w:rPr>
          <w:rFonts w:hint="eastAsia"/>
        </w:rPr>
      </w:pPr>
      <w:r>
        <w:rPr>
          <w:rFonts w:ascii="仿宋" w:eastAsia="仿宋" w:hAnsi="仿宋" w:cs="仿宋"/>
          <w:color w:val="000000"/>
          <w:sz w:val="30"/>
        </w:rPr>
        <w:t>三、关于支出总体情况表的说明</w:t>
      </w:r>
    </w:p>
    <w:p w14:paraId="79C144CD" w14:textId="77777777" w:rsidR="00974B7C" w:rsidRDefault="00D717BE">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067975E5" w14:textId="77777777" w:rsidR="00974B7C" w:rsidRDefault="00D717BE">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CAC8AC2" w14:textId="77777777" w:rsidR="00974B7C" w:rsidRDefault="00D717BE">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2543A01" w14:textId="77777777" w:rsidR="00974B7C" w:rsidRDefault="00D717BE">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7441DFD9" w14:textId="77777777" w:rsidR="00974B7C" w:rsidRDefault="00D717BE">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E357D79" w14:textId="77777777" w:rsidR="00974B7C" w:rsidRDefault="00D717BE">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051B5C42" w14:textId="77777777" w:rsidR="00974B7C" w:rsidRDefault="00D717BE">
      <w:pPr>
        <w:spacing w:line="560" w:lineRule="exact"/>
        <w:ind w:firstLine="900"/>
        <w:jc w:val="both"/>
        <w:rPr>
          <w:rFonts w:hint="eastAsia"/>
        </w:rPr>
      </w:pPr>
      <w:r>
        <w:rPr>
          <w:rFonts w:ascii="仿宋" w:eastAsia="仿宋" w:hAnsi="仿宋" w:cs="仿宋"/>
          <w:color w:val="000000"/>
          <w:sz w:val="30"/>
        </w:rPr>
        <w:t>十、其他重要事项的情况说明</w:t>
      </w:r>
    </w:p>
    <w:p w14:paraId="05AF0687" w14:textId="77777777" w:rsidR="00974B7C" w:rsidRDefault="00D717BE">
      <w:pPr>
        <w:spacing w:line="560" w:lineRule="exact"/>
        <w:ind w:firstLine="900"/>
        <w:jc w:val="both"/>
        <w:rPr>
          <w:rFonts w:hint="eastAsia"/>
        </w:rPr>
      </w:pPr>
      <w:r>
        <w:rPr>
          <w:rFonts w:ascii="仿宋" w:eastAsia="仿宋" w:hAnsi="仿宋" w:cs="仿宋"/>
          <w:b/>
          <w:color w:val="000000"/>
          <w:sz w:val="30"/>
        </w:rPr>
        <w:t>第三部分  名词解释</w:t>
      </w:r>
    </w:p>
    <w:p w14:paraId="269A2583" w14:textId="77777777" w:rsidR="00974B7C" w:rsidRDefault="00D717BE">
      <w:pPr>
        <w:spacing w:line="560" w:lineRule="exact"/>
        <w:ind w:firstLine="900"/>
        <w:jc w:val="both"/>
        <w:rPr>
          <w:rFonts w:hint="eastAsia"/>
        </w:rPr>
      </w:pPr>
      <w:r>
        <w:rPr>
          <w:rFonts w:ascii="仿宋" w:eastAsia="仿宋" w:hAnsi="仿宋" w:cs="仿宋"/>
          <w:b/>
          <w:color w:val="000000"/>
          <w:sz w:val="30"/>
        </w:rPr>
        <w:t>第四部分  2025年单位预算表</w:t>
      </w:r>
    </w:p>
    <w:p w14:paraId="029DDC79" w14:textId="77777777" w:rsidR="00974B7C" w:rsidRDefault="00D717BE">
      <w:pPr>
        <w:spacing w:line="560" w:lineRule="exact"/>
        <w:ind w:firstLine="900"/>
        <w:jc w:val="both"/>
        <w:rPr>
          <w:rFonts w:hint="eastAsia"/>
        </w:rPr>
      </w:pPr>
      <w:r>
        <w:rPr>
          <w:rFonts w:ascii="仿宋" w:eastAsia="仿宋" w:hAnsi="仿宋" w:cs="仿宋"/>
          <w:color w:val="000000"/>
          <w:sz w:val="30"/>
        </w:rPr>
        <w:t>一、部门收支总体情况表</w:t>
      </w:r>
    </w:p>
    <w:p w14:paraId="7D1FC52D" w14:textId="77777777" w:rsidR="00974B7C" w:rsidRDefault="00D717BE">
      <w:pPr>
        <w:spacing w:line="560" w:lineRule="exact"/>
        <w:ind w:firstLine="900"/>
        <w:jc w:val="both"/>
        <w:rPr>
          <w:rFonts w:hint="eastAsia"/>
        </w:rPr>
      </w:pPr>
      <w:r>
        <w:rPr>
          <w:rFonts w:ascii="仿宋" w:eastAsia="仿宋" w:hAnsi="仿宋" w:cs="仿宋"/>
          <w:color w:val="000000"/>
          <w:sz w:val="30"/>
        </w:rPr>
        <w:t>二、部门收入总体情况表</w:t>
      </w:r>
    </w:p>
    <w:p w14:paraId="46DC4A88" w14:textId="77777777" w:rsidR="00974B7C" w:rsidRDefault="00D717BE">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C2425A4" w14:textId="77777777" w:rsidR="00974B7C" w:rsidRDefault="00D717BE">
      <w:pPr>
        <w:spacing w:line="560" w:lineRule="exact"/>
        <w:ind w:firstLine="900"/>
        <w:jc w:val="both"/>
        <w:rPr>
          <w:rFonts w:hint="eastAsia"/>
        </w:rPr>
      </w:pPr>
      <w:r>
        <w:rPr>
          <w:rFonts w:ascii="仿宋" w:eastAsia="仿宋" w:hAnsi="仿宋" w:cs="仿宋"/>
          <w:color w:val="000000"/>
          <w:sz w:val="30"/>
        </w:rPr>
        <w:t>四、财政拨款收支总体情况表</w:t>
      </w:r>
    </w:p>
    <w:p w14:paraId="61C4BD13" w14:textId="77777777" w:rsidR="00974B7C" w:rsidRDefault="00D717BE">
      <w:pPr>
        <w:spacing w:line="560" w:lineRule="exact"/>
        <w:ind w:firstLine="900"/>
        <w:jc w:val="both"/>
        <w:rPr>
          <w:rFonts w:hint="eastAsia"/>
        </w:rPr>
      </w:pPr>
      <w:r>
        <w:rPr>
          <w:rFonts w:ascii="仿宋" w:eastAsia="仿宋" w:hAnsi="仿宋" w:cs="仿宋"/>
          <w:color w:val="000000"/>
          <w:sz w:val="30"/>
        </w:rPr>
        <w:t>五、一般公共预算支出情况表</w:t>
      </w:r>
    </w:p>
    <w:p w14:paraId="53965A18" w14:textId="77777777" w:rsidR="00974B7C" w:rsidRDefault="00D717BE">
      <w:pPr>
        <w:spacing w:line="560" w:lineRule="exact"/>
        <w:ind w:firstLine="900"/>
        <w:jc w:val="both"/>
        <w:rPr>
          <w:rFonts w:hint="eastAsia"/>
        </w:rPr>
      </w:pPr>
      <w:r>
        <w:rPr>
          <w:rFonts w:ascii="仿宋" w:eastAsia="仿宋" w:hAnsi="仿宋" w:cs="仿宋"/>
          <w:color w:val="000000"/>
          <w:sz w:val="30"/>
        </w:rPr>
        <w:t>六、一般公共预算基本支出情况表</w:t>
      </w:r>
    </w:p>
    <w:p w14:paraId="4A0B1C8A" w14:textId="77777777" w:rsidR="00974B7C" w:rsidRDefault="00D717BE">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2752C176" w14:textId="77777777" w:rsidR="00974B7C" w:rsidRDefault="00D717BE">
      <w:pPr>
        <w:spacing w:line="560" w:lineRule="exact"/>
        <w:ind w:firstLine="900"/>
        <w:jc w:val="both"/>
        <w:rPr>
          <w:rFonts w:hint="eastAsia"/>
        </w:rPr>
      </w:pPr>
      <w:r>
        <w:rPr>
          <w:rFonts w:ascii="仿宋" w:eastAsia="仿宋" w:hAnsi="仿宋" w:cs="仿宋"/>
          <w:color w:val="000000"/>
          <w:sz w:val="30"/>
        </w:rPr>
        <w:t>八、政府性基金预算支出情况表</w:t>
      </w:r>
    </w:p>
    <w:p w14:paraId="2CD491DA" w14:textId="77777777" w:rsidR="00974B7C" w:rsidRDefault="00D717BE">
      <w:pPr>
        <w:spacing w:line="560" w:lineRule="exact"/>
        <w:ind w:firstLine="900"/>
        <w:jc w:val="both"/>
        <w:rPr>
          <w:rFonts w:hint="eastAsia"/>
        </w:rPr>
      </w:pPr>
      <w:r>
        <w:rPr>
          <w:rFonts w:ascii="仿宋" w:eastAsia="仿宋" w:hAnsi="仿宋" w:cs="仿宋"/>
          <w:color w:val="000000"/>
          <w:sz w:val="30"/>
        </w:rPr>
        <w:t>九、国有资本经营预算支出情况表</w:t>
      </w:r>
    </w:p>
    <w:p w14:paraId="71EC24B2" w14:textId="77777777" w:rsidR="00974B7C" w:rsidRDefault="00D717BE">
      <w:pPr>
        <w:spacing w:line="560" w:lineRule="exact"/>
        <w:ind w:firstLine="900"/>
        <w:jc w:val="both"/>
        <w:rPr>
          <w:rFonts w:hint="eastAsia"/>
        </w:rPr>
      </w:pPr>
      <w:r>
        <w:rPr>
          <w:rFonts w:ascii="仿宋" w:eastAsia="仿宋" w:hAnsi="仿宋" w:cs="仿宋"/>
          <w:color w:val="000000"/>
          <w:sz w:val="30"/>
        </w:rPr>
        <w:t>十、项目支出表</w:t>
      </w:r>
    </w:p>
    <w:p w14:paraId="0B48ABF7" w14:textId="77777777" w:rsidR="00974B7C" w:rsidRDefault="00D717BE">
      <w:pPr>
        <w:spacing w:line="560" w:lineRule="exact"/>
        <w:ind w:firstLine="900"/>
        <w:jc w:val="both"/>
        <w:rPr>
          <w:rFonts w:hint="eastAsia"/>
        </w:rPr>
      </w:pPr>
      <w:r>
        <w:rPr>
          <w:rFonts w:ascii="仿宋" w:eastAsia="仿宋" w:hAnsi="仿宋" w:cs="仿宋"/>
          <w:color w:val="000000"/>
          <w:sz w:val="30"/>
        </w:rPr>
        <w:t>十一、关于空表的说明</w:t>
      </w:r>
    </w:p>
    <w:p w14:paraId="7DF9DA66" w14:textId="77777777" w:rsidR="00974B7C" w:rsidRDefault="00D717BE">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753C79AE" w14:textId="5B5950C2" w:rsidR="00974B7C" w:rsidRDefault="00D717BE" w:rsidP="001460BA">
      <w:pPr>
        <w:pStyle w:val="a3"/>
        <w:numPr>
          <w:ilvl w:val="0"/>
          <w:numId w:val="2"/>
        </w:numPr>
        <w:spacing w:line="560" w:lineRule="exact"/>
        <w:ind w:firstLineChars="0"/>
        <w:jc w:val="both"/>
        <w:rPr>
          <w:rFonts w:hint="eastAsia"/>
        </w:rPr>
      </w:pPr>
      <w:r w:rsidRPr="001460BA">
        <w:rPr>
          <w:rFonts w:ascii="黑体" w:eastAsia="黑体" w:hAnsi="黑体" w:cs="黑体"/>
          <w:b/>
          <w:color w:val="353232"/>
          <w:sz w:val="30"/>
        </w:rPr>
        <w:t>主要职责</w:t>
      </w:r>
    </w:p>
    <w:p w14:paraId="4554D4EF" w14:textId="77777777" w:rsidR="001460BA" w:rsidRDefault="00D717BE" w:rsidP="001460BA">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区人力资源和社会保障局贯彻落实党中央、市委、区委关于人力资源和社会保障工作的方针政策和决策部署，在履行职责过程中坚持和加强党对人力资源和社会保障局工作的集中统一领导。主要职责是：</w:t>
      </w:r>
    </w:p>
    <w:p w14:paraId="091F0BF0" w14:textId="77777777" w:rsidR="001460BA" w:rsidRDefault="001460BA" w:rsidP="001460BA">
      <w:pPr>
        <w:spacing w:line="560" w:lineRule="exact"/>
        <w:ind w:firstLine="600"/>
        <w:jc w:val="both"/>
        <w:rPr>
          <w:rFonts w:ascii="仿宋" w:eastAsia="仿宋" w:hAnsi="仿宋" w:cs="仿宋"/>
          <w:color w:val="000000"/>
          <w:sz w:val="30"/>
        </w:rPr>
      </w:pPr>
      <w:r>
        <w:rPr>
          <w:rFonts w:ascii="仿宋" w:eastAsia="仿宋" w:hAnsi="仿宋" w:cs="仿宋" w:hint="eastAsia"/>
          <w:color w:val="000000"/>
          <w:sz w:val="30"/>
        </w:rPr>
        <w:t>1.</w:t>
      </w:r>
      <w:r w:rsidR="00D717BE" w:rsidRPr="001460BA">
        <w:rPr>
          <w:rFonts w:ascii="仿宋" w:eastAsia="仿宋" w:hAnsi="仿宋" w:cs="仿宋"/>
          <w:color w:val="000000"/>
          <w:sz w:val="30"/>
        </w:rPr>
        <w:t>贯彻落实人力资源和社会保障工作法律法规，落实相关地方性规范、标准。</w:t>
      </w:r>
    </w:p>
    <w:p w14:paraId="1D341BF8" w14:textId="7777777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2.落实人力资源市场发展规划和人力资源引进开发政策，建立统一规范的人力资源市场，促进人力资源合理流动。</w:t>
      </w:r>
    </w:p>
    <w:p w14:paraId="258C4178" w14:textId="7777777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3.负责促进就业工作，拟订本区就业扶持政策，落实统筹城乡的就业发展规划和政策，完善公共就业服务体系，实施就业援助制度。落实职业资格制度相关政策，实施面向城乡劳动者的职业培训制度。落实高校毕业生就业政策。落实高技能人才、农村实用人才培养和激励政策。</w:t>
      </w:r>
    </w:p>
    <w:p w14:paraId="7ED09730" w14:textId="7777777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4.会同有关部门建立覆盖城乡的社会保障体系。落实养老和工伤、失业社会保险及其补充保险政策和标准，落实养老、工伤、失业社会保险关系转续办法。拟订本区养老保险扶持政策。落实养老、工伤、失业社会保险及其补充保险基金管理和监督制度。</w:t>
      </w:r>
    </w:p>
    <w:p w14:paraId="199E31F7" w14:textId="1BC3F26F"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5.会同有关部门指导事业单位人事制度改革，落实事业单位人员和机关工勤人员管理政策，参与人才管理工作，落实专</w:t>
      </w:r>
      <w:r w:rsidRPr="00CE6A03">
        <w:rPr>
          <w:rFonts w:ascii="仿宋" w:eastAsia="仿宋" w:hAnsi="仿宋" w:cs="仿宋"/>
          <w:color w:val="000000"/>
          <w:sz w:val="30"/>
        </w:rPr>
        <w:lastRenderedPageBreak/>
        <w:t>业技术人员管理和继续教育政策，推进深化职称制度改革工作。拟订本区人才政策，实施博士后管理制度，负责高层次专业技术人才选拔和培养工作。落实留学人员来津（回国）工作政</w:t>
      </w:r>
      <w:r w:rsidR="001460BA">
        <w:rPr>
          <w:rFonts w:ascii="仿宋" w:eastAsia="仿宋" w:hAnsi="仿宋" w:cs="仿宋" w:hint="eastAsia"/>
          <w:color w:val="000000"/>
          <w:sz w:val="30"/>
        </w:rPr>
        <w:t>策。</w:t>
      </w:r>
    </w:p>
    <w:p w14:paraId="4E35DA49" w14:textId="3308388C"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6.落实事业单位人员工资收入分配政策，落实企事业单位人员工资正常增长和支付保障机制，落实企业职工收入调控政策，实施最低工资制度，落实事业单位人员福利和离退休政</w:t>
      </w:r>
      <w:r w:rsidR="001460BA">
        <w:rPr>
          <w:rFonts w:ascii="仿宋" w:eastAsia="仿宋" w:hAnsi="仿宋" w:cs="仿宋" w:hint="eastAsia"/>
          <w:color w:val="000000"/>
          <w:sz w:val="30"/>
        </w:rPr>
        <w:t>策。</w:t>
      </w:r>
    </w:p>
    <w:p w14:paraId="40E9BCA8" w14:textId="7777777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7.会同有关部门落实农民工工作综合性政策和规划，推动农民工相关政策落实，协调解决重点难点问题，维护农民工合法权益。</w:t>
      </w:r>
    </w:p>
    <w:p w14:paraId="3381B77D" w14:textId="7777777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8.会同有关部门拟订本区荣誉制度和政府奖励制度，承担以区委、区政府名义及各系统表彰、奖励和授予荣誉称号的综合管理工作。</w:t>
      </w:r>
    </w:p>
    <w:p w14:paraId="52CE3B8E" w14:textId="4CCFA8DA"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9.落实劳动关系政策，完善劳动关系协调机制，落实消除非法使用童工政策和女工、未成年工的特殊劳动保护政策，组织实施劳动保障监察，协调劳动者维权工作，依法查处案件</w:t>
      </w:r>
      <w:r w:rsidR="001460BA">
        <w:rPr>
          <w:rFonts w:ascii="仿宋" w:eastAsia="仿宋" w:hAnsi="仿宋" w:cs="仿宋" w:hint="eastAsia"/>
          <w:color w:val="000000"/>
          <w:sz w:val="30"/>
        </w:rPr>
        <w:t>。</w:t>
      </w:r>
    </w:p>
    <w:p w14:paraId="50D73EB8" w14:textId="4CA6E0EF"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10.负责本区人力资源和社会保障领域安全生产管理工</w:t>
      </w:r>
      <w:r w:rsidR="001460BA">
        <w:rPr>
          <w:rFonts w:ascii="仿宋" w:eastAsia="仿宋" w:hAnsi="仿宋" w:cs="仿宋" w:hint="eastAsia"/>
          <w:color w:val="000000"/>
          <w:sz w:val="30"/>
        </w:rPr>
        <w:t>作。</w:t>
      </w:r>
    </w:p>
    <w:p w14:paraId="79EB9934" w14:textId="7777777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11.负责本区人力资源和社会保障领域人才队伍建设。</w:t>
      </w:r>
    </w:p>
    <w:p w14:paraId="2427C382" w14:textId="4C690AA7"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12.负责本区人力资源和社会保障领域对外合作与交流</w:t>
      </w:r>
      <w:r w:rsidR="001460BA">
        <w:rPr>
          <w:rFonts w:ascii="仿宋" w:eastAsia="仿宋" w:hAnsi="仿宋" w:cs="仿宋" w:hint="eastAsia"/>
          <w:color w:val="000000"/>
          <w:sz w:val="30"/>
        </w:rPr>
        <w:t>工作。</w:t>
      </w:r>
    </w:p>
    <w:p w14:paraId="7ECD4826" w14:textId="2C78467F" w:rsidR="001460BA" w:rsidRDefault="00D717BE" w:rsidP="001460BA">
      <w:pPr>
        <w:spacing w:line="560" w:lineRule="exact"/>
        <w:ind w:firstLine="600"/>
        <w:jc w:val="both"/>
        <w:rPr>
          <w:rFonts w:ascii="仿宋" w:eastAsia="仿宋" w:hAnsi="仿宋" w:cs="仿宋"/>
          <w:color w:val="000000"/>
          <w:sz w:val="30"/>
        </w:rPr>
      </w:pPr>
      <w:r w:rsidRPr="00CE6A03">
        <w:rPr>
          <w:rFonts w:ascii="仿宋" w:eastAsia="仿宋" w:hAnsi="仿宋" w:cs="仿宋"/>
          <w:color w:val="000000"/>
          <w:sz w:val="30"/>
        </w:rPr>
        <w:t>13.组织推动本区人力资源和社会保障领域招商引资工</w:t>
      </w:r>
      <w:r w:rsidR="001460BA">
        <w:rPr>
          <w:rFonts w:ascii="仿宋" w:eastAsia="仿宋" w:hAnsi="仿宋" w:cs="仿宋" w:hint="eastAsia"/>
          <w:color w:val="000000"/>
          <w:sz w:val="30"/>
        </w:rPr>
        <w:t>作。</w:t>
      </w:r>
    </w:p>
    <w:p w14:paraId="2C150784" w14:textId="76463788" w:rsidR="00974B7C" w:rsidRPr="00CE6A03" w:rsidRDefault="00D717BE" w:rsidP="001460BA">
      <w:pPr>
        <w:spacing w:line="560" w:lineRule="exact"/>
        <w:ind w:firstLine="600"/>
        <w:jc w:val="both"/>
        <w:rPr>
          <w:rFonts w:ascii="仿宋" w:eastAsia="仿宋" w:hAnsi="仿宋" w:cs="仿宋" w:hint="eastAsia"/>
          <w:color w:val="000000"/>
          <w:sz w:val="30"/>
        </w:rPr>
      </w:pPr>
      <w:r w:rsidRPr="00CE6A03">
        <w:rPr>
          <w:rFonts w:ascii="仿宋" w:eastAsia="仿宋" w:hAnsi="仿宋" w:cs="仿宋"/>
          <w:color w:val="000000"/>
          <w:sz w:val="30"/>
        </w:rPr>
        <w:t>14.完成区委、区政府交办的其他事项。</w:t>
      </w:r>
    </w:p>
    <w:p w14:paraId="3DCE1DCF" w14:textId="77777777" w:rsidR="00974B7C" w:rsidRDefault="00D717BE">
      <w:pPr>
        <w:spacing w:line="560" w:lineRule="exact"/>
        <w:ind w:firstLine="600"/>
        <w:jc w:val="both"/>
        <w:rPr>
          <w:rFonts w:hint="eastAsia"/>
        </w:rPr>
      </w:pPr>
      <w:r>
        <w:rPr>
          <w:rFonts w:ascii="黑体" w:eastAsia="黑体" w:hAnsi="黑体" w:cs="黑体"/>
          <w:b/>
          <w:color w:val="000000"/>
          <w:sz w:val="30"/>
        </w:rPr>
        <w:t>二、机构设置情况</w:t>
      </w:r>
    </w:p>
    <w:p w14:paraId="275A5349" w14:textId="77777777" w:rsidR="00974B7C" w:rsidRDefault="00D717BE">
      <w:pPr>
        <w:spacing w:line="560" w:lineRule="exact"/>
        <w:ind w:firstLine="600"/>
        <w:jc w:val="both"/>
        <w:rPr>
          <w:rFonts w:hint="eastAsia"/>
        </w:rPr>
      </w:pPr>
      <w:r>
        <w:rPr>
          <w:rFonts w:ascii="仿宋" w:eastAsia="仿宋" w:hAnsi="仿宋" w:cs="仿宋"/>
          <w:color w:val="000000"/>
          <w:sz w:val="30"/>
        </w:rPr>
        <w:lastRenderedPageBreak/>
        <w:t>天津市西青区人力资源和社会保障局部门内设8个职能科室；下辖1个预算单位。</w:t>
      </w:r>
    </w:p>
    <w:p w14:paraId="4F39DD21" w14:textId="77777777" w:rsidR="00974B7C" w:rsidRDefault="00D717BE">
      <w:pPr>
        <w:spacing w:line="560" w:lineRule="exact"/>
        <w:ind w:firstLine="600"/>
        <w:jc w:val="both"/>
        <w:rPr>
          <w:rFonts w:hint="eastAsia"/>
        </w:rPr>
      </w:pPr>
      <w:r>
        <w:rPr>
          <w:rFonts w:ascii="仿宋" w:eastAsia="仿宋" w:hAnsi="仿宋" w:cs="仿宋"/>
          <w:color w:val="000000"/>
          <w:sz w:val="30"/>
        </w:rPr>
        <w:t>纳入天津市西青区人力资源和社会保障局单位2025年部门预算编制范围的预算单位包括：</w:t>
      </w:r>
    </w:p>
    <w:p w14:paraId="79E50B02" w14:textId="77777777" w:rsidR="00974B7C" w:rsidRDefault="00D717BE">
      <w:pPr>
        <w:spacing w:line="560" w:lineRule="exact"/>
        <w:ind w:firstLine="600"/>
        <w:jc w:val="both"/>
        <w:rPr>
          <w:rFonts w:hint="eastAsia"/>
        </w:rPr>
      </w:pPr>
      <w:r>
        <w:rPr>
          <w:rFonts w:ascii="仿宋" w:eastAsia="仿宋" w:hAnsi="仿宋" w:cs="仿宋"/>
          <w:color w:val="000000"/>
          <w:sz w:val="30"/>
        </w:rPr>
        <w:t>1.天津市西青区人力资源和社会保障局</w:t>
      </w:r>
    </w:p>
    <w:p w14:paraId="62E44BA1" w14:textId="77777777" w:rsidR="00974B7C" w:rsidRDefault="00D717BE">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6B363BB9" w14:textId="77777777" w:rsidR="00974B7C" w:rsidRDefault="00D717BE">
      <w:pPr>
        <w:spacing w:line="560" w:lineRule="exact"/>
        <w:ind w:firstLine="600"/>
        <w:jc w:val="both"/>
        <w:rPr>
          <w:rFonts w:hint="eastAsia"/>
        </w:rPr>
      </w:pPr>
      <w:r>
        <w:rPr>
          <w:rFonts w:ascii="黑体" w:eastAsia="黑体" w:hAnsi="黑体" w:cs="黑体"/>
          <w:b/>
          <w:color w:val="000000"/>
          <w:sz w:val="30"/>
        </w:rPr>
        <w:t>一、关于收支总体情况表的说明</w:t>
      </w:r>
    </w:p>
    <w:p w14:paraId="1A9E190D" w14:textId="77777777" w:rsidR="00974B7C" w:rsidRDefault="00D717BE">
      <w:pPr>
        <w:spacing w:line="560" w:lineRule="exact"/>
        <w:ind w:firstLine="600"/>
        <w:jc w:val="both"/>
        <w:rPr>
          <w:rFonts w:hint="eastAsia"/>
        </w:rPr>
      </w:pPr>
      <w:r>
        <w:rPr>
          <w:rFonts w:ascii="仿宋" w:eastAsia="仿宋" w:hAnsi="仿宋" w:cs="仿宋"/>
          <w:color w:val="000000"/>
          <w:sz w:val="30"/>
        </w:rPr>
        <w:t>按照综合预算的原则，天津市西青区人力资源和社会保障局单位所有收入和支出均纳入部门预算管理。收入包括：一般公共预算拨款收入53,352.80万元、政府性基金预算拨款收入0万元、国有资本经营预算拨款收入3.00万元、财政专户管理资金收入0万元、事业收入0万元、事业单位经营收入0万元、上级补助收入0万元、附属单位上缴收入0万元、其他收入0万元、上年结转结余2,884.77万元；支出包括：农林水支出181.73万元、国有资本经营预算支出5.20万元、教育支出85.94万元、社会保障和就业支出55,925.25万元、卫生健康支出42.44万元。天津市西青区人力资源和社会保障局单位2025年收支总预算56,240.57万元。</w:t>
      </w:r>
    </w:p>
    <w:p w14:paraId="3E33D07A" w14:textId="77777777" w:rsidR="00974B7C" w:rsidRDefault="00D717BE">
      <w:pPr>
        <w:spacing w:line="560" w:lineRule="exact"/>
        <w:ind w:firstLine="600"/>
        <w:jc w:val="both"/>
        <w:rPr>
          <w:rFonts w:hint="eastAsia"/>
        </w:rPr>
      </w:pPr>
      <w:r>
        <w:rPr>
          <w:rFonts w:ascii="黑体" w:eastAsia="黑体" w:hAnsi="黑体" w:cs="黑体"/>
          <w:b/>
          <w:color w:val="000000"/>
          <w:sz w:val="30"/>
        </w:rPr>
        <w:t>二、关于收入总体情况表的说明</w:t>
      </w:r>
    </w:p>
    <w:p w14:paraId="64D1C078" w14:textId="77777777" w:rsidR="00974B7C" w:rsidRDefault="00D717BE">
      <w:pPr>
        <w:spacing w:line="560" w:lineRule="exact"/>
        <w:ind w:firstLine="600"/>
        <w:jc w:val="both"/>
        <w:rPr>
          <w:rFonts w:hint="eastAsia"/>
        </w:rPr>
      </w:pPr>
      <w:r>
        <w:rPr>
          <w:rFonts w:ascii="仿宋" w:eastAsia="仿宋" w:hAnsi="仿宋" w:cs="仿宋"/>
          <w:color w:val="000000"/>
          <w:sz w:val="30"/>
        </w:rPr>
        <w:t>天津市西青区人力资源和社会保障局单位2025年部门预算收入56,240.57万元，与上年预算相比增加8,210.47万元，主要原因是本年提前下达2025年就业补助资金、城乡居民养老保险补贴等中央及市级资金预算增加。其中：上年结转结余2,884.77万元，占5.13%；一般公共预算53,352.80万元，占94.87%；政府性基金预算0万元，占0%；国有资本经营预算3.00万元，占0.01%；财政专户管理资金0万元，占0%；事业收入0万元，占0%；事业单位经营收入0万元，占0%；上级补助收入0万元，占0%；附属单位上缴收入0万元，占0%；其他</w:t>
      </w:r>
      <w:r>
        <w:rPr>
          <w:rFonts w:ascii="仿宋" w:eastAsia="仿宋" w:hAnsi="仿宋" w:cs="仿宋"/>
          <w:color w:val="000000"/>
          <w:sz w:val="30"/>
        </w:rPr>
        <w:lastRenderedPageBreak/>
        <w:t>收入0万元，占0%。</w:t>
      </w:r>
    </w:p>
    <w:p w14:paraId="5DD1A7DD" w14:textId="77777777" w:rsidR="00974B7C" w:rsidRDefault="00D717BE">
      <w:pPr>
        <w:spacing w:line="560" w:lineRule="exact"/>
        <w:ind w:firstLine="600"/>
        <w:jc w:val="both"/>
        <w:rPr>
          <w:rFonts w:hint="eastAsia"/>
        </w:rPr>
      </w:pPr>
      <w:r>
        <w:rPr>
          <w:rFonts w:ascii="黑体" w:eastAsia="黑体" w:hAnsi="黑体" w:cs="黑体"/>
          <w:b/>
          <w:color w:val="000000"/>
          <w:sz w:val="30"/>
        </w:rPr>
        <w:t>三、关于支出总体情况表的说明</w:t>
      </w:r>
    </w:p>
    <w:p w14:paraId="4F21B52E" w14:textId="77777777" w:rsidR="00974B7C" w:rsidRDefault="00D717BE">
      <w:pPr>
        <w:spacing w:line="560" w:lineRule="exact"/>
        <w:ind w:firstLine="600"/>
        <w:jc w:val="both"/>
        <w:rPr>
          <w:rFonts w:hint="eastAsia"/>
        </w:rPr>
      </w:pPr>
      <w:r>
        <w:rPr>
          <w:rFonts w:ascii="仿宋" w:eastAsia="仿宋" w:hAnsi="仿宋" w:cs="仿宋"/>
          <w:color w:val="000000"/>
          <w:sz w:val="30"/>
        </w:rPr>
        <w:t>天津市西青区人力资源和社会保障局单位2025年支出预算56,240.57万元，与上年预算相比增加8,210.47万元，主要原因是本年提前下达2025年就业补助资金、城乡居民养老保险补贴等中央及市级资金预算增加。其中：基本支出1,188.78万元，占2.11%；项目支出55,051.79万元，占97.89%；事业单位经营支出0万元，占0%；上缴上级支出0万元，占0%；对附属单位补助支出0万元，占0%。</w:t>
      </w:r>
    </w:p>
    <w:p w14:paraId="5B309521" w14:textId="77777777" w:rsidR="00974B7C" w:rsidRDefault="00D717BE">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1D5F0A5" w14:textId="77777777" w:rsidR="00974B7C" w:rsidRDefault="00D717BE">
      <w:pPr>
        <w:spacing w:line="560" w:lineRule="exact"/>
        <w:ind w:firstLine="600"/>
        <w:jc w:val="both"/>
        <w:rPr>
          <w:rFonts w:hint="eastAsia"/>
        </w:rPr>
      </w:pPr>
      <w:r>
        <w:rPr>
          <w:rFonts w:ascii="仿宋" w:eastAsia="仿宋" w:hAnsi="仿宋" w:cs="仿宋"/>
          <w:color w:val="000000"/>
          <w:sz w:val="30"/>
        </w:rPr>
        <w:t>天津市西青区人力资源和社会保障局单位2025年财政拨款收入预算56,240.57万元，与上年预算相比增加8,210.47万元，主要原因是本年提前下达2025年就业补助资金、城乡居民养老保险补贴等中央及市级资金预算增加。收入包括：一般公共预算拨款收入53,352.80万元、政府性基金预算拨款收入0万元、上年财政结转结余2,884.77万元、国有资本经营预算拨款收入3.00万元、2025年财政拨款支出预算56,240.57万元，与上年预算相比增加8,210.47万元，主要原因是本年提前下达2025年就业补助资金、城乡居民养老保险补贴等中央及市级资金预算增加。支出包括：教育支出85.94万元 ；社会保障和就业支出55,925.25万元 ；卫生健康支出42.44万元 ；农林水支出181.73万元 ；国有资本经营预算支出5.20万元。</w:t>
      </w:r>
    </w:p>
    <w:p w14:paraId="377DEC18" w14:textId="77777777" w:rsidR="00974B7C" w:rsidRDefault="00D717BE">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74D71BD3" w14:textId="77777777" w:rsidR="00974B7C" w:rsidRDefault="00D717BE">
      <w:pPr>
        <w:spacing w:line="560" w:lineRule="exact"/>
        <w:ind w:firstLine="600"/>
        <w:jc w:val="both"/>
        <w:rPr>
          <w:rFonts w:hint="eastAsia"/>
        </w:rPr>
      </w:pPr>
      <w:r>
        <w:rPr>
          <w:rFonts w:ascii="楷体" w:eastAsia="楷体" w:hAnsi="楷体" w:cs="楷体"/>
          <w:b/>
          <w:color w:val="000000"/>
          <w:sz w:val="30"/>
        </w:rPr>
        <w:lastRenderedPageBreak/>
        <w:t>（一）总体情况</w:t>
      </w:r>
    </w:p>
    <w:p w14:paraId="7B5355F3" w14:textId="77777777" w:rsidR="00974B7C" w:rsidRDefault="00D717BE">
      <w:pPr>
        <w:spacing w:line="560" w:lineRule="exact"/>
        <w:ind w:firstLine="600"/>
        <w:jc w:val="both"/>
        <w:rPr>
          <w:rFonts w:hint="eastAsia"/>
        </w:rPr>
      </w:pPr>
      <w:r>
        <w:rPr>
          <w:rFonts w:ascii="仿宋" w:eastAsia="仿宋" w:hAnsi="仿宋" w:cs="仿宋"/>
          <w:color w:val="000000"/>
          <w:sz w:val="30"/>
        </w:rPr>
        <w:t>天津市西青区人力资源和社会保障局单位2025年一般公共预算支出56,235.36万元(上年48,023.05万元），与上年预算相比增加8,212.31万元，主要原因是本年提前下达2025年就业补助资金、城乡居民养老保险补贴等中央及市级资金预算增加。</w:t>
      </w:r>
    </w:p>
    <w:p w14:paraId="4715457C" w14:textId="77777777" w:rsidR="00974B7C" w:rsidRDefault="00D717BE">
      <w:pPr>
        <w:spacing w:line="560" w:lineRule="exact"/>
        <w:ind w:firstLine="600"/>
        <w:jc w:val="both"/>
        <w:rPr>
          <w:rFonts w:hint="eastAsia"/>
        </w:rPr>
      </w:pPr>
      <w:r>
        <w:rPr>
          <w:rFonts w:ascii="楷体" w:eastAsia="楷体" w:hAnsi="楷体" w:cs="楷体"/>
          <w:b/>
          <w:color w:val="000000"/>
          <w:sz w:val="30"/>
        </w:rPr>
        <w:t>（二）具体情况</w:t>
      </w:r>
    </w:p>
    <w:p w14:paraId="161789C8" w14:textId="77777777" w:rsidR="00974B7C" w:rsidRDefault="00D717BE">
      <w:pPr>
        <w:spacing w:line="560" w:lineRule="exact"/>
        <w:ind w:firstLine="600"/>
        <w:jc w:val="both"/>
        <w:rPr>
          <w:rFonts w:hint="eastAsia"/>
        </w:rPr>
      </w:pPr>
      <w:r>
        <w:rPr>
          <w:rFonts w:ascii="仿宋" w:eastAsia="仿宋" w:hAnsi="仿宋" w:cs="仿宋"/>
          <w:color w:val="000000"/>
          <w:sz w:val="30"/>
        </w:rPr>
        <w:t>1、“教育支出（类）”85.94万元，与上年预算相比减少6.61万元，主要原因是本年提前下达2025年高校毕业生“三支一扶”补助经费市级资金预算减少。其中：“普通教育（款）”83.30万元，包括：“其他普通教育支出（项）”83.30万元，主要用于2025年三支一扶人员生活费补贴、公积金社保缴纳等支出。</w:t>
      </w:r>
    </w:p>
    <w:p w14:paraId="200D6811" w14:textId="77777777" w:rsidR="00974B7C" w:rsidRDefault="00D717BE">
      <w:pPr>
        <w:spacing w:line="560" w:lineRule="exact"/>
        <w:ind w:firstLine="600"/>
        <w:jc w:val="both"/>
        <w:rPr>
          <w:rFonts w:hint="eastAsia"/>
        </w:rPr>
      </w:pPr>
      <w:r>
        <w:rPr>
          <w:rFonts w:ascii="仿宋" w:eastAsia="仿宋" w:hAnsi="仿宋" w:cs="仿宋"/>
          <w:color w:val="000000"/>
          <w:sz w:val="30"/>
        </w:rPr>
        <w:t>“进修及培训（款）”2.64万元，包括：“培训支出（项）”2.64万元，主要用于在职职工教育培训支出。</w:t>
      </w:r>
    </w:p>
    <w:p w14:paraId="3D5E26AC" w14:textId="77777777" w:rsidR="00974B7C" w:rsidRDefault="00D717BE">
      <w:pPr>
        <w:spacing w:line="560" w:lineRule="exact"/>
        <w:ind w:firstLine="600"/>
        <w:jc w:val="both"/>
        <w:rPr>
          <w:rFonts w:hint="eastAsia"/>
        </w:rPr>
      </w:pPr>
      <w:r>
        <w:rPr>
          <w:rFonts w:ascii="仿宋" w:eastAsia="仿宋" w:hAnsi="仿宋" w:cs="仿宋"/>
          <w:color w:val="000000"/>
          <w:sz w:val="30"/>
        </w:rPr>
        <w:t>2、“社会保障和就业支出（类）”55,925.25万元，与上年预算相比增加8,289.80万元，主要原因是本年提前下达2025年高校毕业生“三支一扶”补助经费市级资金预算减少。其中：“人力资源和社会保障管理事务（款）”2,980.57万元，包括：“行政运行（人力资源和社会保障管理事务）（项）”1,049.67万元，主要用于人力资源和社会保障机关人员工资福利支出及公用经费支出等；“一般行政管理事务（人力资源和社会保障管理事务）（项）”41.00万元，主要用于公</w:t>
      </w:r>
      <w:r>
        <w:rPr>
          <w:rFonts w:ascii="仿宋" w:eastAsia="仿宋" w:hAnsi="仿宋" w:cs="仿宋"/>
          <w:color w:val="000000"/>
          <w:sz w:val="30"/>
        </w:rPr>
        <w:lastRenderedPageBreak/>
        <w:t>务员及事业人事管理软件、编外人员管理软件、智慧仲裁系统等维修维护服务费；“引进人才费用（项）”900.00万元，主要用于人才发展专项资金、创新创业引进英才相关经费等兑现人才政策支出；“其他人力资源和社会保障管理事务支出（项）”989.90万元，主要用于区农民养老补贴及原农业户籍居民养老保险补贴、综合业务费、事业单位定期奖励等项目费用支出。</w:t>
      </w:r>
    </w:p>
    <w:p w14:paraId="5FFE6DCC" w14:textId="77777777" w:rsidR="00974B7C" w:rsidRDefault="00D717BE">
      <w:pPr>
        <w:spacing w:line="560" w:lineRule="exact"/>
        <w:ind w:firstLine="600"/>
        <w:jc w:val="both"/>
        <w:rPr>
          <w:rFonts w:hint="eastAsia"/>
        </w:rPr>
      </w:pPr>
      <w:r>
        <w:rPr>
          <w:rFonts w:ascii="仿宋" w:eastAsia="仿宋" w:hAnsi="仿宋" w:cs="仿宋"/>
          <w:color w:val="000000"/>
          <w:sz w:val="30"/>
        </w:rPr>
        <w:t>“行政事业单位养老支出（款）”20,357.45万元，包括：“行政单位离退休（项）”11.15万元，主要用于行政单位退休人员取暖、物业补贴及慰问金等支出；“机关事业单位基本养老保险缴费支出（项）”56.58万元，主要用于职工基本养老保险缴费支出；“机关事业单位职业年金缴费支出（项）”1,506.81万元，主要用于职工单位职业年金缴费支出及西青区职业年金做实项目支出；“对机关事业单位基本养老保险基金的补助（项）”18,782.90万元，主要用于归集机关事业单位基本养老保险补助资金。</w:t>
      </w:r>
    </w:p>
    <w:p w14:paraId="3EC718BB" w14:textId="77777777" w:rsidR="00974B7C" w:rsidRDefault="00D717BE">
      <w:pPr>
        <w:spacing w:line="560" w:lineRule="exact"/>
        <w:ind w:firstLine="600"/>
        <w:jc w:val="both"/>
        <w:rPr>
          <w:rFonts w:hint="eastAsia"/>
        </w:rPr>
      </w:pPr>
      <w:r>
        <w:rPr>
          <w:rFonts w:ascii="仿宋" w:eastAsia="仿宋" w:hAnsi="仿宋" w:cs="仿宋"/>
          <w:color w:val="000000"/>
          <w:sz w:val="30"/>
        </w:rPr>
        <w:t>“就业补助（款）”9,005.64万元，包括：“就业创业服务补贴（项）”651.29万元，主要用于支持加强公共就业服务机构提升创业服务能力和向社会力量购买就业创业服务的补助支出；“职业培训补贴（项）”1,013.96万元，主要用于落实相关职业培训政策方面的补贴支出；“社会保险补贴（项）”3,297.14万元，主要用于对符合条件人员就业后缴纳的社会保险给予的补贴支出；“公益性岗位补贴（项）”1,188.49万元，主要用于对符合条件的就业困难人员</w:t>
      </w:r>
      <w:r>
        <w:rPr>
          <w:rFonts w:ascii="仿宋" w:eastAsia="仿宋" w:hAnsi="仿宋" w:cs="仿宋"/>
          <w:color w:val="000000"/>
          <w:sz w:val="30"/>
        </w:rPr>
        <w:lastRenderedPageBreak/>
        <w:t>在公益性岗位就业后给予的岗位补贴支出；“就业见习补贴（项）”2,088.19万元，主要用于对符合条件的高校毕业生给予就业见习基本生活费补贴；“其他就业补助支出（项）”766.58万元，主要用于发放吸纳高校毕业生、就业困难人员一次性补贴等其他促进就业的补助支出。</w:t>
      </w:r>
    </w:p>
    <w:p w14:paraId="770C8DCE" w14:textId="77777777" w:rsidR="00974B7C" w:rsidRDefault="00D717BE">
      <w:pPr>
        <w:spacing w:line="560" w:lineRule="exact"/>
        <w:ind w:firstLine="600"/>
        <w:jc w:val="both"/>
        <w:rPr>
          <w:rFonts w:hint="eastAsia"/>
        </w:rPr>
      </w:pPr>
      <w:r>
        <w:rPr>
          <w:rFonts w:ascii="仿宋" w:eastAsia="仿宋" w:hAnsi="仿宋" w:cs="仿宋"/>
          <w:color w:val="000000"/>
          <w:sz w:val="30"/>
        </w:rPr>
        <w:t>“财政对基本养老保险基金的补助（款）”23,581.60万元，包括：“财政对企业职工基本养老保险基金的补助（项）”4,915.00万元，主要用于归集企业职工基本养老保险补助资金；“财政对城乡居民基本养老保险基金的补助（项）”18,666.60万元，主要用于归集城乡居民基本养老保险补助资金。</w:t>
      </w:r>
    </w:p>
    <w:p w14:paraId="37A909CD" w14:textId="77777777" w:rsidR="00974B7C" w:rsidRDefault="00D717BE">
      <w:pPr>
        <w:spacing w:line="560" w:lineRule="exact"/>
        <w:ind w:firstLine="600"/>
        <w:jc w:val="both"/>
        <w:rPr>
          <w:rFonts w:hint="eastAsia"/>
        </w:rPr>
      </w:pPr>
      <w:r>
        <w:rPr>
          <w:rFonts w:ascii="仿宋" w:eastAsia="仿宋" w:hAnsi="仿宋" w:cs="仿宋"/>
          <w:color w:val="000000"/>
          <w:sz w:val="30"/>
        </w:rPr>
        <w:t>3、“卫生健康支出（类）”42.44万元，与上年预算相比减少1.62万元，主要原因是本年较上年人员减少，医疗保险缴费较上年减少。其中：“行政事业单位医疗（款）”42.44万元，包括：“行政单位医疗（项）”35.37万元，主要用于机关单位在职人员基本医疗缴费；“公务员医疗补助（项）”7.07万元，主要用于公务员医疗补助缴费。</w:t>
      </w:r>
    </w:p>
    <w:p w14:paraId="6AE9E1F3" w14:textId="77777777" w:rsidR="00974B7C" w:rsidRDefault="00D717BE">
      <w:pPr>
        <w:spacing w:line="560" w:lineRule="exact"/>
        <w:ind w:firstLine="600"/>
        <w:jc w:val="both"/>
        <w:rPr>
          <w:rFonts w:hint="eastAsia"/>
        </w:rPr>
      </w:pPr>
      <w:r>
        <w:rPr>
          <w:rFonts w:ascii="仿宋" w:eastAsia="仿宋" w:hAnsi="仿宋" w:cs="仿宋"/>
          <w:color w:val="000000"/>
          <w:sz w:val="30"/>
        </w:rPr>
        <w:t>4、“农林水支出（类）”181.73万元，与上年预算相比减少69.27万元，主要原因是本年创业担保贷款贴息项目预算减少。其中：“普惠金融发展支出（款）”181.73万元，包括：“创业担保贷款贴息及奖补（项）”181.73万元，主要用于符合条件的人员从事微利项目创业担保贷款的贴息支出。</w:t>
      </w:r>
    </w:p>
    <w:p w14:paraId="298E175F" w14:textId="77777777" w:rsidR="00974B7C" w:rsidRDefault="00D717BE">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B236729" w14:textId="77777777" w:rsidR="00974B7C" w:rsidRDefault="00D717BE">
      <w:pPr>
        <w:spacing w:line="560" w:lineRule="exact"/>
        <w:ind w:firstLine="600"/>
        <w:jc w:val="both"/>
        <w:rPr>
          <w:rFonts w:hint="eastAsia"/>
        </w:rPr>
      </w:pPr>
      <w:r>
        <w:rPr>
          <w:rFonts w:ascii="仿宋" w:eastAsia="仿宋" w:hAnsi="仿宋" w:cs="仿宋"/>
          <w:color w:val="000000"/>
          <w:sz w:val="30"/>
        </w:rPr>
        <w:lastRenderedPageBreak/>
        <w:t>天津市西青区人力资源和社会保障局单位2025年一般公共预算基本支出 1,188.78万元，与上年预算相比减少29.64万元，主要原因是本年较上年人员减少，相应的人员经费及公用经费都较上年减少。其中：人员经费 969.48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14:paraId="28396CF5" w14:textId="77777777" w:rsidR="00974B7C" w:rsidRDefault="00D717BE">
      <w:pPr>
        <w:spacing w:line="560" w:lineRule="exact"/>
        <w:ind w:firstLine="600"/>
        <w:jc w:val="both"/>
        <w:rPr>
          <w:rFonts w:hint="eastAsia"/>
        </w:rPr>
      </w:pPr>
      <w:r>
        <w:rPr>
          <w:rFonts w:ascii="仿宋" w:eastAsia="仿宋" w:hAnsi="仿宋" w:cs="仿宋"/>
          <w:color w:val="000000"/>
          <w:sz w:val="30"/>
        </w:rPr>
        <w:t>公用经费219.29万元，主要包括：办公费、水费、电费、邮电费、取暖费、物业管理费、差旅费、维修（护）费、培训费、委托业务费、工会经费、福利费、其他交通费用、其他商品和服务支出、办公设备购置等。</w:t>
      </w:r>
    </w:p>
    <w:p w14:paraId="3E15BD68" w14:textId="77777777" w:rsidR="00974B7C" w:rsidRDefault="00D717BE">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2025年一般公共预算“三公”经费安排0万元，与2024年预算相比增加0.00万元，主要原因是本单位一般公共预算未安排“三公”经费支出。</w:t>
      </w:r>
    </w:p>
    <w:p w14:paraId="631026C8" w14:textId="77777777" w:rsidR="00974B7C" w:rsidRDefault="00D717BE">
      <w:pPr>
        <w:spacing w:line="560" w:lineRule="exact"/>
        <w:ind w:firstLine="600"/>
        <w:jc w:val="both"/>
        <w:rPr>
          <w:rFonts w:hint="eastAsia"/>
        </w:rPr>
      </w:pPr>
      <w:r>
        <w:rPr>
          <w:rFonts w:ascii="仿宋" w:eastAsia="仿宋" w:hAnsi="仿宋" w:cs="仿宋"/>
          <w:color w:val="000000"/>
          <w:sz w:val="30"/>
        </w:rPr>
        <w:t>具体情况：</w:t>
      </w:r>
    </w:p>
    <w:p w14:paraId="7DACA4FD" w14:textId="77777777" w:rsidR="00974B7C" w:rsidRDefault="00D717BE">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一、2025年因公出国（境）费预算0万元，与2024年预算相比增加0.00万元，主要原因是本单位一般公共预算未安排因公出国（境）费预算。</w:t>
      </w:r>
    </w:p>
    <w:p w14:paraId="6342720C" w14:textId="77777777" w:rsidR="00974B7C" w:rsidRDefault="00D717BE">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071E252F" w14:textId="77777777" w:rsidR="00974B7C" w:rsidRDefault="00D717BE">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其中公务用车运行费0万元，与2024年预算相比增加0万元，主要原因是本单位一般公共预算未安排公务用车运行费预</w:t>
      </w:r>
      <w:r>
        <w:rPr>
          <w:rFonts w:ascii="仿宋" w:eastAsia="仿宋" w:hAnsi="仿宋" w:cs="仿宋"/>
          <w:color w:val="000000"/>
          <w:sz w:val="30"/>
        </w:rPr>
        <w:lastRenderedPageBreak/>
        <w:t>算；公务用车购置费0万元，与2024年预算相比增加0万元，主要原因是本单位一般公共预算未安排公务用车购置费预算。</w:t>
      </w:r>
    </w:p>
    <w:p w14:paraId="2A8521FD" w14:textId="77777777" w:rsidR="00974B7C" w:rsidRDefault="00D717BE">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三、2025年公务接待费预算0万元，与2024年预算相比增加0万元，主要原因是本单位一般公共预算未安排公务接待费预算。</w:t>
      </w:r>
    </w:p>
    <w:p w14:paraId="5075BD4D" w14:textId="77777777" w:rsidR="00974B7C" w:rsidRDefault="00D717BE">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FEC1D5F" w14:textId="77777777" w:rsidR="00974B7C" w:rsidRDefault="00D717BE">
      <w:pPr>
        <w:spacing w:line="560" w:lineRule="exact"/>
        <w:ind w:firstLine="600"/>
        <w:jc w:val="both"/>
        <w:rPr>
          <w:rFonts w:hint="eastAsia"/>
        </w:rPr>
      </w:pPr>
      <w:r>
        <w:rPr>
          <w:rFonts w:ascii="仿宋" w:eastAsia="仿宋" w:hAnsi="仿宋" w:cs="仿宋"/>
          <w:color w:val="000000"/>
          <w:sz w:val="30"/>
        </w:rPr>
        <w:t>2025年天津市西青区人力资源和社会保障局单位预算中没有使用政府性基金预算安排的支出。</w:t>
      </w:r>
    </w:p>
    <w:p w14:paraId="302F9CA8" w14:textId="77777777" w:rsidR="00974B7C" w:rsidRDefault="00D717BE">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2D999606" w14:textId="77777777" w:rsidR="00974B7C" w:rsidRDefault="00D717BE">
      <w:pPr>
        <w:spacing w:line="560" w:lineRule="exact"/>
        <w:ind w:firstLine="600"/>
        <w:jc w:val="both"/>
        <w:rPr>
          <w:rFonts w:hint="eastAsia"/>
        </w:rPr>
      </w:pPr>
      <w:r>
        <w:rPr>
          <w:rFonts w:ascii="仿宋" w:eastAsia="仿宋" w:hAnsi="仿宋" w:cs="仿宋"/>
          <w:color w:val="000000"/>
          <w:sz w:val="30"/>
        </w:rPr>
        <w:t>1、“国有资本经营预算支出（类）”5.20万元（上年7.05万元），与上年预算相比减少1.85万元，主要原因是2022年度以前结转的国有企业退休人员补助项目资金已使用完毕，其中：</w:t>
      </w:r>
    </w:p>
    <w:p w14:paraId="781D3879" w14:textId="77777777" w:rsidR="00974B7C" w:rsidRDefault="00D717BE">
      <w:pPr>
        <w:spacing w:line="560" w:lineRule="exact"/>
        <w:jc w:val="both"/>
        <w:rPr>
          <w:rFonts w:hint="eastAsia"/>
        </w:rPr>
      </w:pPr>
      <w:r>
        <w:rPr>
          <w:rFonts w:ascii="仿宋" w:eastAsia="仿宋" w:hAnsi="仿宋" w:cs="仿宋"/>
          <w:color w:val="000000"/>
          <w:sz w:val="30"/>
        </w:rPr>
        <w:t>“解决历史遗留问题及改革成本支出（款）”5.20万元，包括：“国有企业退休人员社会化管理补助支出（项）”5.20万元，主要用于支持国有企业退休人员实现社会化管理的支出。</w:t>
      </w:r>
    </w:p>
    <w:p w14:paraId="140C6110" w14:textId="77777777" w:rsidR="00974B7C" w:rsidRDefault="00D717BE">
      <w:pPr>
        <w:spacing w:line="560" w:lineRule="exact"/>
        <w:ind w:firstLine="600"/>
        <w:jc w:val="both"/>
        <w:rPr>
          <w:rFonts w:hint="eastAsia"/>
        </w:rPr>
      </w:pPr>
      <w:r>
        <w:rPr>
          <w:rFonts w:ascii="黑体" w:eastAsia="黑体" w:hAnsi="黑体" w:cs="黑体"/>
          <w:b/>
          <w:color w:val="000000"/>
          <w:sz w:val="30"/>
        </w:rPr>
        <w:t>十、其他重要事项的情况说明</w:t>
      </w:r>
    </w:p>
    <w:p w14:paraId="39F453E4" w14:textId="77777777" w:rsidR="00974B7C" w:rsidRDefault="00D717BE">
      <w:pPr>
        <w:spacing w:line="560" w:lineRule="exact"/>
        <w:ind w:firstLine="600"/>
        <w:jc w:val="both"/>
        <w:rPr>
          <w:rFonts w:hint="eastAsia"/>
        </w:rPr>
      </w:pPr>
      <w:r>
        <w:rPr>
          <w:rFonts w:ascii="楷体" w:eastAsia="楷体" w:hAnsi="楷体" w:cs="楷体"/>
          <w:b/>
          <w:color w:val="000000"/>
          <w:sz w:val="30"/>
        </w:rPr>
        <w:t>（一）机关运行经费。</w:t>
      </w:r>
    </w:p>
    <w:p w14:paraId="6D432AB1" w14:textId="77777777" w:rsidR="00974B7C" w:rsidRDefault="00D717BE">
      <w:pPr>
        <w:spacing w:line="560" w:lineRule="exact"/>
        <w:ind w:firstLine="600"/>
        <w:jc w:val="both"/>
        <w:rPr>
          <w:rFonts w:hint="eastAsia"/>
        </w:rPr>
      </w:pPr>
      <w:r>
        <w:rPr>
          <w:rFonts w:ascii="仿宋" w:eastAsia="仿宋" w:hAnsi="仿宋" w:cs="仿宋"/>
          <w:color w:val="000000"/>
          <w:sz w:val="30"/>
        </w:rPr>
        <w:t>本单位2025年天津市西青区人力资源和社会保障局1家行政单位以及0家参公管理事业单位的机关运行经费预算219.29万元，包括办公费24.48万元、水费2.28万元、电费19.65万元、邮电费3.00万元、取暖费25.97万元、物业管理费56.57</w:t>
      </w:r>
      <w:r>
        <w:rPr>
          <w:rFonts w:ascii="仿宋" w:eastAsia="仿宋" w:hAnsi="仿宋" w:cs="仿宋"/>
          <w:color w:val="000000"/>
          <w:sz w:val="30"/>
        </w:rPr>
        <w:lastRenderedPageBreak/>
        <w:t>万元、差旅费3.58万元、维修(护)费3.84万元、培训费0.64万元、委托业务费2.40万元、工会经费12.31万元、福利费8.60万元、其他交通费用23.41万元、其他商品和服务支出26.47万元、办公设备购置6.08万元 。</w:t>
      </w:r>
    </w:p>
    <w:p w14:paraId="44C9B279" w14:textId="77777777" w:rsidR="00974B7C" w:rsidRDefault="00D717BE">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88.35万元，其中：政府采购货物支出5.31万元、政府采购工程支出0万元、政府采购服务支出83.04万元。主要项目是：物业管理服务项目83.04万元，购买复印纸1.61万元，购买台式计算机1万元，购买便携式计算机1万元，购买打印机1万元，购买扫描仪0.4万元，购买文件柜0.3万元。</w:t>
      </w:r>
    </w:p>
    <w:p w14:paraId="08D0B4A3" w14:textId="77777777" w:rsidR="00974B7C" w:rsidRDefault="00D717BE">
      <w:pPr>
        <w:spacing w:line="560" w:lineRule="exact"/>
        <w:ind w:firstLine="600"/>
        <w:jc w:val="both"/>
        <w:rPr>
          <w:rFonts w:hint="eastAsia"/>
        </w:rPr>
      </w:pPr>
      <w:r>
        <w:rPr>
          <w:rFonts w:ascii="楷体" w:eastAsia="楷体" w:hAnsi="楷体" w:cs="楷体"/>
          <w:b/>
          <w:color w:val="000000"/>
          <w:sz w:val="30"/>
        </w:rPr>
        <w:t>（三）国有资产占用情况</w:t>
      </w:r>
    </w:p>
    <w:p w14:paraId="49AE7B2D" w14:textId="77777777" w:rsidR="00974B7C" w:rsidRDefault="00D717BE">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45B83C66" w14:textId="77777777" w:rsidR="00974B7C" w:rsidRDefault="00D717BE">
      <w:pPr>
        <w:spacing w:line="560" w:lineRule="exact"/>
        <w:ind w:firstLine="600"/>
        <w:jc w:val="both"/>
        <w:rPr>
          <w:rFonts w:hint="eastAsia"/>
        </w:rPr>
      </w:pPr>
      <w:r>
        <w:rPr>
          <w:rFonts w:ascii="楷体" w:eastAsia="楷体" w:hAnsi="楷体" w:cs="楷体"/>
          <w:b/>
          <w:color w:val="000000"/>
          <w:sz w:val="30"/>
        </w:rPr>
        <w:t>（四）预算绩效情况说明。</w:t>
      </w:r>
    </w:p>
    <w:p w14:paraId="47F1E0BB" w14:textId="77777777" w:rsidR="00974B7C" w:rsidRDefault="00D717BE">
      <w:pPr>
        <w:spacing w:line="560" w:lineRule="exact"/>
        <w:ind w:firstLine="600"/>
        <w:jc w:val="both"/>
        <w:rPr>
          <w:rFonts w:hint="eastAsia"/>
        </w:rPr>
      </w:pPr>
      <w:r>
        <w:rPr>
          <w:rFonts w:ascii="仿宋" w:eastAsia="仿宋" w:hAnsi="仿宋" w:cs="仿宋"/>
          <w:color w:val="000000"/>
          <w:sz w:val="30"/>
        </w:rPr>
        <w:t>天津市西青区人力资源和社会保障局单位2025年实行绩效目标管理的项目24个，涉及预算金额55,051.79万元。</w:t>
      </w:r>
    </w:p>
    <w:p w14:paraId="2547514F" w14:textId="77777777" w:rsidR="00974B7C" w:rsidRDefault="00D717BE">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3C070257" w14:textId="77777777" w:rsidR="00974B7C" w:rsidRDefault="00D717BE">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3F197BF" w14:textId="77777777" w:rsidR="00974B7C" w:rsidRDefault="00D717BE">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65779EB" w14:textId="77777777" w:rsidR="00974B7C" w:rsidRDefault="00D717BE">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34ECE5D8" w14:textId="77777777" w:rsidR="00974B7C" w:rsidRDefault="00D717BE">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F3A4F27" w14:textId="77777777" w:rsidR="00974B7C" w:rsidRDefault="00D717BE">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7AFB9A81" w14:textId="77777777" w:rsidR="00974B7C" w:rsidRDefault="00D717BE">
      <w:pPr>
        <w:spacing w:line="560" w:lineRule="exact"/>
        <w:jc w:val="both"/>
        <w:rPr>
          <w:rFonts w:hint="eastAsia"/>
        </w:rPr>
      </w:pPr>
      <w:r>
        <w:rPr>
          <w:rFonts w:ascii="楷体" w:eastAsia="楷体" w:hAnsi="楷体" w:cs="楷体"/>
          <w:b/>
          <w:color w:val="000000"/>
          <w:sz w:val="30"/>
        </w:rPr>
        <w:t>一、《部门收支总体情况表》</w:t>
      </w:r>
    </w:p>
    <w:p w14:paraId="21633323" w14:textId="77777777" w:rsidR="00974B7C" w:rsidRDefault="00D717BE">
      <w:pPr>
        <w:spacing w:line="560" w:lineRule="exact"/>
        <w:jc w:val="both"/>
        <w:rPr>
          <w:rFonts w:hint="eastAsia"/>
        </w:rPr>
      </w:pPr>
      <w:r>
        <w:rPr>
          <w:rFonts w:ascii="楷体" w:eastAsia="楷体" w:hAnsi="楷体" w:cs="楷体"/>
          <w:b/>
          <w:color w:val="000000"/>
          <w:sz w:val="30"/>
        </w:rPr>
        <w:t>二、《部门收入总体情况表》</w:t>
      </w:r>
    </w:p>
    <w:p w14:paraId="75AD8B52" w14:textId="77777777" w:rsidR="00974B7C" w:rsidRDefault="00D717BE">
      <w:pPr>
        <w:spacing w:line="560" w:lineRule="exact"/>
        <w:jc w:val="both"/>
        <w:rPr>
          <w:rFonts w:hint="eastAsia"/>
        </w:rPr>
      </w:pPr>
      <w:r>
        <w:rPr>
          <w:rFonts w:ascii="楷体" w:eastAsia="楷体" w:hAnsi="楷体" w:cs="楷体"/>
          <w:b/>
          <w:color w:val="000000"/>
          <w:sz w:val="30"/>
        </w:rPr>
        <w:t>三、《部门支出总体情况表》</w:t>
      </w:r>
    </w:p>
    <w:p w14:paraId="1DC6BF2E" w14:textId="77777777" w:rsidR="00974B7C" w:rsidRDefault="00D717BE">
      <w:pPr>
        <w:spacing w:line="560" w:lineRule="exact"/>
        <w:jc w:val="both"/>
        <w:rPr>
          <w:rFonts w:hint="eastAsia"/>
        </w:rPr>
      </w:pPr>
      <w:r>
        <w:rPr>
          <w:rFonts w:ascii="楷体" w:eastAsia="楷体" w:hAnsi="楷体" w:cs="楷体"/>
          <w:b/>
          <w:color w:val="000000"/>
          <w:sz w:val="30"/>
        </w:rPr>
        <w:t>四、《财政拨款收支总体情况表》</w:t>
      </w:r>
    </w:p>
    <w:p w14:paraId="6CA0FAE2" w14:textId="77777777" w:rsidR="00974B7C" w:rsidRDefault="00D717BE">
      <w:pPr>
        <w:spacing w:line="560" w:lineRule="exact"/>
        <w:jc w:val="both"/>
        <w:rPr>
          <w:rFonts w:hint="eastAsia"/>
        </w:rPr>
      </w:pPr>
      <w:r>
        <w:rPr>
          <w:rFonts w:ascii="楷体" w:eastAsia="楷体" w:hAnsi="楷体" w:cs="楷体"/>
          <w:b/>
          <w:color w:val="000000"/>
          <w:sz w:val="30"/>
        </w:rPr>
        <w:t>五、《一般公共预算支出情况表》</w:t>
      </w:r>
    </w:p>
    <w:p w14:paraId="76C5B2A0" w14:textId="77777777" w:rsidR="00974B7C" w:rsidRDefault="00D717BE">
      <w:pPr>
        <w:spacing w:line="560" w:lineRule="exact"/>
        <w:jc w:val="both"/>
        <w:rPr>
          <w:rFonts w:hint="eastAsia"/>
        </w:rPr>
      </w:pPr>
      <w:r>
        <w:rPr>
          <w:rFonts w:ascii="楷体" w:eastAsia="楷体" w:hAnsi="楷体" w:cs="楷体"/>
          <w:b/>
          <w:color w:val="000000"/>
          <w:sz w:val="30"/>
        </w:rPr>
        <w:t>六、《一般公共预算基本支出情况表》</w:t>
      </w:r>
    </w:p>
    <w:p w14:paraId="19628E27" w14:textId="77777777" w:rsidR="00974B7C" w:rsidRDefault="00D717BE">
      <w:pPr>
        <w:spacing w:line="560" w:lineRule="exact"/>
        <w:jc w:val="both"/>
        <w:rPr>
          <w:rFonts w:hint="eastAsia"/>
        </w:rPr>
      </w:pPr>
      <w:r>
        <w:rPr>
          <w:rFonts w:ascii="楷体" w:eastAsia="楷体" w:hAnsi="楷体" w:cs="楷体"/>
          <w:b/>
          <w:color w:val="000000"/>
          <w:sz w:val="30"/>
        </w:rPr>
        <w:t>七、《一般公共预算“三公”经费支出情况表》</w:t>
      </w:r>
    </w:p>
    <w:p w14:paraId="74F4228A" w14:textId="77777777" w:rsidR="00974B7C" w:rsidRDefault="00D717BE">
      <w:pPr>
        <w:spacing w:line="560" w:lineRule="exact"/>
        <w:jc w:val="both"/>
        <w:rPr>
          <w:rFonts w:hint="eastAsia"/>
        </w:rPr>
      </w:pPr>
      <w:r>
        <w:rPr>
          <w:rFonts w:ascii="楷体" w:eastAsia="楷体" w:hAnsi="楷体" w:cs="楷体"/>
          <w:b/>
          <w:color w:val="000000"/>
          <w:sz w:val="30"/>
        </w:rPr>
        <w:t>八、《政府性基金预算支出情况表》</w:t>
      </w:r>
    </w:p>
    <w:p w14:paraId="54DE070F" w14:textId="77777777" w:rsidR="00974B7C" w:rsidRDefault="00D717BE">
      <w:pPr>
        <w:spacing w:line="560" w:lineRule="exact"/>
        <w:jc w:val="both"/>
        <w:rPr>
          <w:rFonts w:hint="eastAsia"/>
        </w:rPr>
      </w:pPr>
      <w:r>
        <w:rPr>
          <w:rFonts w:ascii="楷体" w:eastAsia="楷体" w:hAnsi="楷体" w:cs="楷体"/>
          <w:b/>
          <w:color w:val="000000"/>
          <w:sz w:val="30"/>
        </w:rPr>
        <w:t>九、《国有资本经营预算支出情况表》</w:t>
      </w:r>
    </w:p>
    <w:p w14:paraId="64C1BF43" w14:textId="77777777" w:rsidR="00974B7C" w:rsidRDefault="00D717BE">
      <w:pPr>
        <w:spacing w:line="560" w:lineRule="exact"/>
        <w:jc w:val="both"/>
        <w:rPr>
          <w:rFonts w:hint="eastAsia"/>
        </w:rPr>
      </w:pPr>
      <w:r>
        <w:rPr>
          <w:rFonts w:ascii="楷体" w:eastAsia="楷体" w:hAnsi="楷体" w:cs="楷体"/>
          <w:b/>
          <w:color w:val="000000"/>
          <w:sz w:val="30"/>
        </w:rPr>
        <w:t>十、《项目支出表》</w:t>
      </w:r>
    </w:p>
    <w:p w14:paraId="77D34DFF" w14:textId="77777777" w:rsidR="00974B7C" w:rsidRDefault="00D717BE">
      <w:pPr>
        <w:spacing w:line="560" w:lineRule="exact"/>
        <w:jc w:val="both"/>
        <w:rPr>
          <w:rFonts w:hint="eastAsia"/>
        </w:rPr>
      </w:pPr>
      <w:r>
        <w:rPr>
          <w:rFonts w:ascii="楷体" w:eastAsia="楷体" w:hAnsi="楷体" w:cs="楷体"/>
          <w:b/>
          <w:color w:val="000000"/>
          <w:sz w:val="30"/>
        </w:rPr>
        <w:t>十一、关于空表说明</w:t>
      </w:r>
    </w:p>
    <w:p w14:paraId="0064159E" w14:textId="77777777" w:rsidR="00974B7C" w:rsidRDefault="00D717BE">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1A9E0A1E" w14:textId="77777777" w:rsidR="00974B7C" w:rsidRDefault="00D717BE">
      <w:pPr>
        <w:spacing w:line="560" w:lineRule="exact"/>
        <w:ind w:firstLine="600"/>
        <w:jc w:val="both"/>
        <w:rPr>
          <w:rFonts w:hint="eastAsia"/>
        </w:rPr>
      </w:pPr>
      <w:r>
        <w:rPr>
          <w:rFonts w:ascii="仿宋" w:eastAsia="仿宋" w:hAnsi="仿宋" w:cs="仿宋"/>
          <w:color w:val="000000"/>
          <w:sz w:val="30"/>
        </w:rPr>
        <w:t>本单位2025年一般公共预算“三公”经费支出情况表为空表</w:t>
      </w:r>
    </w:p>
    <w:p w14:paraId="3BF6F1D3" w14:textId="77777777" w:rsidR="00974B7C" w:rsidRDefault="00D717BE">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sectPr w:rsidR="00974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ZXiaoBiaoSong-B05S">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874D9"/>
    <w:multiLevelType w:val="hybridMultilevel"/>
    <w:tmpl w:val="43EC33E2"/>
    <w:lvl w:ilvl="0" w:tplc="AE3A8358">
      <w:start w:val="1"/>
      <w:numFmt w:val="japaneseCounting"/>
      <w:lvlText w:val="%1、"/>
      <w:lvlJc w:val="left"/>
      <w:pPr>
        <w:ind w:left="1320" w:hanging="720"/>
      </w:pPr>
      <w:rPr>
        <w:rFonts w:ascii="黑体" w:eastAsia="黑体" w:hAnsi="黑体" w:cs="黑体" w:hint="default"/>
        <w:b/>
        <w:color w:val="353232"/>
        <w:sz w:val="30"/>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4684667C"/>
    <w:multiLevelType w:val="hybridMultilevel"/>
    <w:tmpl w:val="3CA29B28"/>
    <w:lvl w:ilvl="0" w:tplc="C5027DD0">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1404789411">
    <w:abstractNumId w:val="1"/>
  </w:num>
  <w:num w:numId="2" w16cid:durableId="180823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B7C"/>
    <w:rsid w:val="00043851"/>
    <w:rsid w:val="001460BA"/>
    <w:rsid w:val="003A1088"/>
    <w:rsid w:val="00974B7C"/>
    <w:rsid w:val="00CE6A03"/>
    <w:rsid w:val="00D7026B"/>
    <w:rsid w:val="00D7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09AB"/>
  <w15:docId w15:val="{6CB0E692-E190-4E6D-A168-6D9E0FE1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A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8</cp:revision>
  <dcterms:created xsi:type="dcterms:W3CDTF">2025-03-18T02:35:00Z</dcterms:created>
  <dcterms:modified xsi:type="dcterms:W3CDTF">2025-03-26T02:50:00Z</dcterms:modified>
</cp:coreProperties>
</file>