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F5707" w14:textId="77777777" w:rsidR="007D568F" w:rsidRDefault="002538A1">
      <w:pPr>
        <w:spacing w:line="2600" w:lineRule="exact"/>
        <w:jc w:val="center"/>
        <w:rPr>
          <w:rFonts w:hint="eastAsia"/>
        </w:rPr>
      </w:pPr>
      <w:r>
        <w:rPr>
          <w:rFonts w:ascii="FZXiaoBiaoSong-B05S" w:eastAsia="FZXiaoBiaoSong-B05S" w:hAnsi="FZXiaoBiaoSong-B05S" w:cs="FZXiaoBiaoSong-B05S"/>
          <w:b/>
          <w:color w:val="000000"/>
          <w:sz w:val="48"/>
        </w:rPr>
        <w:t>天津市西青区人力资源和社会保障局</w:t>
      </w:r>
      <w:r>
        <w:rPr>
          <w:rFonts w:ascii="FZXiaoBiaoSong-B05S" w:eastAsia="FZXiaoBiaoSong-B05S" w:hAnsi="FZXiaoBiaoSong-B05S" w:cs="FZXiaoBiaoSong-B05S"/>
          <w:b/>
          <w:color w:val="000000"/>
          <w:sz w:val="48"/>
        </w:rPr>
        <w:br/>
        <w:t>2025年度部门预算公开</w:t>
      </w:r>
    </w:p>
    <w:p w14:paraId="0AFA7506" w14:textId="77777777" w:rsidR="007D568F" w:rsidRDefault="002538A1">
      <w:pPr>
        <w:pageBreakBefore/>
        <w:spacing w:line="560" w:lineRule="exact"/>
        <w:jc w:val="center"/>
        <w:rPr>
          <w:rFonts w:hint="eastAsia"/>
        </w:rPr>
      </w:pPr>
      <w:r>
        <w:rPr>
          <w:rFonts w:ascii="黑体" w:eastAsia="黑体" w:hAnsi="黑体" w:cs="黑体"/>
          <w:b/>
          <w:color w:val="000000"/>
          <w:sz w:val="44"/>
        </w:rPr>
        <w:lastRenderedPageBreak/>
        <w:t>目    录</w:t>
      </w:r>
    </w:p>
    <w:p w14:paraId="4568139D" w14:textId="77777777" w:rsidR="007D568F" w:rsidRDefault="002538A1">
      <w:pPr>
        <w:spacing w:line="560" w:lineRule="exact"/>
        <w:ind w:firstLine="900"/>
        <w:jc w:val="both"/>
        <w:rPr>
          <w:rFonts w:hint="eastAsia"/>
        </w:rPr>
      </w:pPr>
      <w:r>
        <w:rPr>
          <w:rFonts w:ascii="仿宋" w:eastAsia="仿宋" w:hAnsi="仿宋" w:cs="仿宋"/>
          <w:b/>
          <w:color w:val="000000"/>
          <w:sz w:val="30"/>
        </w:rPr>
        <w:t>第一部分  概况</w:t>
      </w:r>
    </w:p>
    <w:p w14:paraId="44C53CDC" w14:textId="77777777" w:rsidR="007D568F" w:rsidRDefault="002538A1">
      <w:pPr>
        <w:spacing w:line="560" w:lineRule="exact"/>
        <w:ind w:firstLine="900"/>
        <w:jc w:val="both"/>
        <w:rPr>
          <w:rFonts w:hint="eastAsia"/>
        </w:rPr>
      </w:pPr>
      <w:r>
        <w:rPr>
          <w:rFonts w:ascii="仿宋" w:eastAsia="仿宋" w:hAnsi="仿宋" w:cs="仿宋"/>
          <w:color w:val="000000"/>
          <w:sz w:val="30"/>
        </w:rPr>
        <w:t>一、主要职责</w:t>
      </w:r>
    </w:p>
    <w:p w14:paraId="5DBCA10E" w14:textId="77777777" w:rsidR="007D568F" w:rsidRDefault="002538A1">
      <w:pPr>
        <w:spacing w:line="560" w:lineRule="exact"/>
        <w:ind w:firstLine="900"/>
        <w:jc w:val="both"/>
        <w:rPr>
          <w:rFonts w:hint="eastAsia"/>
        </w:rPr>
      </w:pPr>
      <w:r>
        <w:rPr>
          <w:rFonts w:ascii="仿宋" w:eastAsia="仿宋" w:hAnsi="仿宋" w:cs="仿宋"/>
          <w:color w:val="000000"/>
          <w:sz w:val="30"/>
        </w:rPr>
        <w:t>二、机构设置情况</w:t>
      </w:r>
    </w:p>
    <w:p w14:paraId="287B8DD3" w14:textId="77777777" w:rsidR="007D568F" w:rsidRDefault="002538A1">
      <w:pPr>
        <w:spacing w:line="560" w:lineRule="exact"/>
        <w:ind w:firstLine="900"/>
        <w:jc w:val="both"/>
        <w:rPr>
          <w:rFonts w:hint="eastAsia"/>
        </w:rPr>
      </w:pPr>
      <w:r>
        <w:rPr>
          <w:rFonts w:ascii="仿宋" w:eastAsia="仿宋" w:hAnsi="仿宋" w:cs="仿宋"/>
          <w:b/>
          <w:color w:val="000000"/>
          <w:sz w:val="30"/>
        </w:rPr>
        <w:t>第二部分  2025年部门情况说明</w:t>
      </w:r>
    </w:p>
    <w:p w14:paraId="26FC952C" w14:textId="77777777" w:rsidR="007D568F" w:rsidRDefault="002538A1">
      <w:pPr>
        <w:spacing w:line="560" w:lineRule="exact"/>
        <w:ind w:firstLine="900"/>
        <w:jc w:val="both"/>
        <w:rPr>
          <w:rFonts w:hint="eastAsia"/>
        </w:rPr>
      </w:pPr>
      <w:r>
        <w:rPr>
          <w:rFonts w:ascii="仿宋" w:eastAsia="仿宋" w:hAnsi="仿宋" w:cs="仿宋"/>
          <w:color w:val="000000"/>
          <w:sz w:val="30"/>
        </w:rPr>
        <w:t>一、关于收支总体情况表的说明</w:t>
      </w:r>
    </w:p>
    <w:p w14:paraId="42F37155" w14:textId="77777777" w:rsidR="007D568F" w:rsidRDefault="002538A1">
      <w:pPr>
        <w:spacing w:line="560" w:lineRule="exact"/>
        <w:ind w:firstLine="900"/>
        <w:jc w:val="both"/>
        <w:rPr>
          <w:rFonts w:hint="eastAsia"/>
        </w:rPr>
      </w:pPr>
      <w:r>
        <w:rPr>
          <w:rFonts w:ascii="仿宋" w:eastAsia="仿宋" w:hAnsi="仿宋" w:cs="仿宋"/>
          <w:color w:val="000000"/>
          <w:sz w:val="30"/>
        </w:rPr>
        <w:t>二、关于收入总体情况表的说明</w:t>
      </w:r>
    </w:p>
    <w:p w14:paraId="104F9423" w14:textId="77777777" w:rsidR="007D568F" w:rsidRDefault="002538A1">
      <w:pPr>
        <w:spacing w:line="560" w:lineRule="exact"/>
        <w:ind w:firstLine="900"/>
        <w:jc w:val="both"/>
        <w:rPr>
          <w:rFonts w:hint="eastAsia"/>
        </w:rPr>
      </w:pPr>
      <w:r>
        <w:rPr>
          <w:rFonts w:ascii="仿宋" w:eastAsia="仿宋" w:hAnsi="仿宋" w:cs="仿宋"/>
          <w:color w:val="000000"/>
          <w:sz w:val="30"/>
        </w:rPr>
        <w:t>三、关于支出总体情况表的说明</w:t>
      </w:r>
    </w:p>
    <w:p w14:paraId="57F2B66A" w14:textId="77777777" w:rsidR="007D568F" w:rsidRDefault="002538A1">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154CE716" w14:textId="77777777" w:rsidR="007D568F" w:rsidRDefault="002538A1">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424A0405" w14:textId="77777777" w:rsidR="007D568F" w:rsidRDefault="002538A1">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2C89032B" w14:textId="77777777" w:rsidR="007D568F" w:rsidRDefault="002538A1">
      <w:pPr>
        <w:spacing w:line="560" w:lineRule="exact"/>
        <w:ind w:firstLine="900"/>
        <w:jc w:val="both"/>
        <w:rPr>
          <w:rFonts w:hint="eastAsia"/>
        </w:rPr>
      </w:pPr>
      <w:r>
        <w:rPr>
          <w:rFonts w:ascii="仿宋" w:eastAsia="仿宋" w:hAnsi="仿宋" w:cs="仿宋"/>
          <w:color w:val="000000"/>
          <w:sz w:val="30"/>
        </w:rPr>
        <w:t>七、关于一般公共预算“三公”经费支出情况表的说明</w:t>
      </w:r>
    </w:p>
    <w:p w14:paraId="1F4B49D0" w14:textId="77777777" w:rsidR="007D568F" w:rsidRDefault="002538A1">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265B6517" w14:textId="77777777" w:rsidR="007D568F" w:rsidRDefault="002538A1">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1B41E37F" w14:textId="77777777" w:rsidR="007D568F" w:rsidRDefault="002538A1">
      <w:pPr>
        <w:spacing w:line="560" w:lineRule="exact"/>
        <w:ind w:firstLine="900"/>
        <w:jc w:val="both"/>
        <w:rPr>
          <w:rFonts w:hint="eastAsia"/>
        </w:rPr>
      </w:pPr>
      <w:r>
        <w:rPr>
          <w:rFonts w:ascii="仿宋" w:eastAsia="仿宋" w:hAnsi="仿宋" w:cs="仿宋"/>
          <w:color w:val="000000"/>
          <w:sz w:val="30"/>
        </w:rPr>
        <w:t>十、其他重要事项的情况说明</w:t>
      </w:r>
    </w:p>
    <w:p w14:paraId="49C14532" w14:textId="77777777" w:rsidR="007D568F" w:rsidRDefault="002538A1">
      <w:pPr>
        <w:spacing w:line="560" w:lineRule="exact"/>
        <w:ind w:firstLine="900"/>
        <w:jc w:val="both"/>
        <w:rPr>
          <w:rFonts w:hint="eastAsia"/>
        </w:rPr>
      </w:pPr>
      <w:r>
        <w:rPr>
          <w:rFonts w:ascii="仿宋" w:eastAsia="仿宋" w:hAnsi="仿宋" w:cs="仿宋"/>
          <w:b/>
          <w:color w:val="000000"/>
          <w:sz w:val="30"/>
        </w:rPr>
        <w:t>第三部分  名词解释</w:t>
      </w:r>
    </w:p>
    <w:p w14:paraId="168862A3" w14:textId="77777777" w:rsidR="007D568F" w:rsidRDefault="002538A1">
      <w:pPr>
        <w:spacing w:line="560" w:lineRule="exact"/>
        <w:ind w:firstLine="900"/>
        <w:jc w:val="both"/>
        <w:rPr>
          <w:rFonts w:hint="eastAsia"/>
        </w:rPr>
      </w:pPr>
      <w:r>
        <w:rPr>
          <w:rFonts w:ascii="仿宋" w:eastAsia="仿宋" w:hAnsi="仿宋" w:cs="仿宋"/>
          <w:b/>
          <w:color w:val="000000"/>
          <w:sz w:val="30"/>
        </w:rPr>
        <w:t>第四部分  2025年部门预算表</w:t>
      </w:r>
    </w:p>
    <w:p w14:paraId="093CC808" w14:textId="77777777" w:rsidR="007D568F" w:rsidRDefault="002538A1">
      <w:pPr>
        <w:spacing w:line="560" w:lineRule="exact"/>
        <w:ind w:firstLine="900"/>
        <w:jc w:val="both"/>
        <w:rPr>
          <w:rFonts w:hint="eastAsia"/>
        </w:rPr>
      </w:pPr>
      <w:r>
        <w:rPr>
          <w:rFonts w:ascii="仿宋" w:eastAsia="仿宋" w:hAnsi="仿宋" w:cs="仿宋"/>
          <w:color w:val="000000"/>
          <w:sz w:val="30"/>
        </w:rPr>
        <w:t>一、部门收支总体情况表</w:t>
      </w:r>
    </w:p>
    <w:p w14:paraId="7BD292F3" w14:textId="77777777" w:rsidR="007D568F" w:rsidRDefault="002538A1">
      <w:pPr>
        <w:spacing w:line="560" w:lineRule="exact"/>
        <w:ind w:firstLine="900"/>
        <w:jc w:val="both"/>
        <w:rPr>
          <w:rFonts w:hint="eastAsia"/>
        </w:rPr>
      </w:pPr>
      <w:r>
        <w:rPr>
          <w:rFonts w:ascii="仿宋" w:eastAsia="仿宋" w:hAnsi="仿宋" w:cs="仿宋"/>
          <w:color w:val="000000"/>
          <w:sz w:val="30"/>
        </w:rPr>
        <w:t>二、部门收入总体情况表</w:t>
      </w:r>
    </w:p>
    <w:p w14:paraId="585C6F62" w14:textId="77777777" w:rsidR="007D568F" w:rsidRDefault="002538A1">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6D29ED39" w14:textId="77777777" w:rsidR="007D568F" w:rsidRDefault="002538A1">
      <w:pPr>
        <w:spacing w:line="560" w:lineRule="exact"/>
        <w:ind w:firstLine="900"/>
        <w:jc w:val="both"/>
        <w:rPr>
          <w:rFonts w:hint="eastAsia"/>
        </w:rPr>
      </w:pPr>
      <w:r>
        <w:rPr>
          <w:rFonts w:ascii="仿宋" w:eastAsia="仿宋" w:hAnsi="仿宋" w:cs="仿宋"/>
          <w:color w:val="000000"/>
          <w:sz w:val="30"/>
        </w:rPr>
        <w:t>四、财政拨款收支总体情况表</w:t>
      </w:r>
    </w:p>
    <w:p w14:paraId="7C7E8FC0" w14:textId="77777777" w:rsidR="007D568F" w:rsidRDefault="002538A1">
      <w:pPr>
        <w:spacing w:line="560" w:lineRule="exact"/>
        <w:ind w:firstLine="900"/>
        <w:jc w:val="both"/>
        <w:rPr>
          <w:rFonts w:hint="eastAsia"/>
        </w:rPr>
      </w:pPr>
      <w:r>
        <w:rPr>
          <w:rFonts w:ascii="仿宋" w:eastAsia="仿宋" w:hAnsi="仿宋" w:cs="仿宋"/>
          <w:color w:val="000000"/>
          <w:sz w:val="30"/>
        </w:rPr>
        <w:t>五、一般公共预算支出情况表</w:t>
      </w:r>
    </w:p>
    <w:p w14:paraId="1E5DB642" w14:textId="77777777" w:rsidR="007D568F" w:rsidRDefault="002538A1">
      <w:pPr>
        <w:spacing w:line="560" w:lineRule="exact"/>
        <w:ind w:firstLine="900"/>
        <w:jc w:val="both"/>
        <w:rPr>
          <w:rFonts w:hint="eastAsia"/>
        </w:rPr>
      </w:pPr>
      <w:r>
        <w:rPr>
          <w:rFonts w:ascii="仿宋" w:eastAsia="仿宋" w:hAnsi="仿宋" w:cs="仿宋"/>
          <w:color w:val="000000"/>
          <w:sz w:val="30"/>
        </w:rPr>
        <w:t>六、一般公共预算基本支出情况表</w:t>
      </w:r>
    </w:p>
    <w:p w14:paraId="0C25BF0C" w14:textId="77777777" w:rsidR="007D568F" w:rsidRDefault="002538A1">
      <w:pPr>
        <w:spacing w:line="560" w:lineRule="exact"/>
        <w:ind w:firstLine="900"/>
        <w:jc w:val="both"/>
        <w:rPr>
          <w:rFonts w:hint="eastAsia"/>
        </w:rPr>
      </w:pPr>
      <w:r>
        <w:rPr>
          <w:rFonts w:ascii="仿宋" w:eastAsia="仿宋" w:hAnsi="仿宋" w:cs="仿宋"/>
          <w:color w:val="000000"/>
          <w:sz w:val="30"/>
        </w:rPr>
        <w:t>七、一般公共预算“三公”经费支出情况表</w:t>
      </w:r>
    </w:p>
    <w:p w14:paraId="1F1EE443" w14:textId="77777777" w:rsidR="007D568F" w:rsidRDefault="002538A1">
      <w:pPr>
        <w:spacing w:line="560" w:lineRule="exact"/>
        <w:ind w:firstLine="900"/>
        <w:jc w:val="both"/>
        <w:rPr>
          <w:rFonts w:hint="eastAsia"/>
        </w:rPr>
      </w:pPr>
      <w:r>
        <w:rPr>
          <w:rFonts w:ascii="仿宋" w:eastAsia="仿宋" w:hAnsi="仿宋" w:cs="仿宋"/>
          <w:color w:val="000000"/>
          <w:sz w:val="30"/>
        </w:rPr>
        <w:t>八、政府性基金预算支出情况表</w:t>
      </w:r>
    </w:p>
    <w:p w14:paraId="7F279AF4" w14:textId="77777777" w:rsidR="007D568F" w:rsidRDefault="002538A1">
      <w:pPr>
        <w:spacing w:line="560" w:lineRule="exact"/>
        <w:ind w:firstLine="900"/>
        <w:jc w:val="both"/>
        <w:rPr>
          <w:rFonts w:hint="eastAsia"/>
        </w:rPr>
      </w:pPr>
      <w:r>
        <w:rPr>
          <w:rFonts w:ascii="仿宋" w:eastAsia="仿宋" w:hAnsi="仿宋" w:cs="仿宋"/>
          <w:color w:val="000000"/>
          <w:sz w:val="30"/>
        </w:rPr>
        <w:t>九、国有资本经营预算支出情况表</w:t>
      </w:r>
    </w:p>
    <w:p w14:paraId="2D7080D2" w14:textId="77777777" w:rsidR="007D568F" w:rsidRDefault="002538A1">
      <w:pPr>
        <w:spacing w:line="560" w:lineRule="exact"/>
        <w:ind w:firstLine="900"/>
        <w:jc w:val="both"/>
        <w:rPr>
          <w:rFonts w:hint="eastAsia"/>
        </w:rPr>
      </w:pPr>
      <w:r>
        <w:rPr>
          <w:rFonts w:ascii="仿宋" w:eastAsia="仿宋" w:hAnsi="仿宋" w:cs="仿宋"/>
          <w:color w:val="000000"/>
          <w:sz w:val="30"/>
        </w:rPr>
        <w:t>十、项目支出表</w:t>
      </w:r>
    </w:p>
    <w:p w14:paraId="500ACDA2" w14:textId="77777777" w:rsidR="007D568F" w:rsidRDefault="002538A1">
      <w:pPr>
        <w:spacing w:line="560" w:lineRule="exact"/>
        <w:ind w:firstLine="900"/>
        <w:jc w:val="both"/>
        <w:rPr>
          <w:rFonts w:hint="eastAsia"/>
        </w:rPr>
      </w:pPr>
      <w:r>
        <w:rPr>
          <w:rFonts w:ascii="仿宋" w:eastAsia="仿宋" w:hAnsi="仿宋" w:cs="仿宋"/>
          <w:color w:val="000000"/>
          <w:sz w:val="30"/>
        </w:rPr>
        <w:t>十一、关于空表的说明</w:t>
      </w:r>
    </w:p>
    <w:p w14:paraId="497F956B" w14:textId="77777777" w:rsidR="007D568F" w:rsidRDefault="002538A1">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 概况</w:t>
      </w:r>
    </w:p>
    <w:p w14:paraId="3E941458" w14:textId="77777777" w:rsidR="007D568F" w:rsidRDefault="002538A1">
      <w:pPr>
        <w:spacing w:line="560" w:lineRule="exact"/>
        <w:ind w:firstLine="600"/>
        <w:jc w:val="both"/>
        <w:rPr>
          <w:rFonts w:hint="eastAsia"/>
        </w:rPr>
      </w:pPr>
      <w:r>
        <w:rPr>
          <w:rFonts w:ascii="黑体" w:eastAsia="黑体" w:hAnsi="黑体" w:cs="黑体"/>
          <w:b/>
          <w:color w:val="353232"/>
          <w:sz w:val="30"/>
        </w:rPr>
        <w:t>一、主要职责</w:t>
      </w:r>
    </w:p>
    <w:p w14:paraId="12C297D9" w14:textId="77777777" w:rsidR="001677F8" w:rsidRDefault="002538A1" w:rsidP="001677F8">
      <w:pPr>
        <w:spacing w:line="560" w:lineRule="exact"/>
        <w:ind w:firstLine="600"/>
        <w:jc w:val="both"/>
        <w:rPr>
          <w:rFonts w:ascii="仿宋" w:eastAsia="仿宋" w:hAnsi="仿宋" w:cs="仿宋"/>
          <w:color w:val="000000"/>
          <w:sz w:val="30"/>
        </w:rPr>
      </w:pPr>
      <w:r>
        <w:rPr>
          <w:rFonts w:ascii="仿宋" w:eastAsia="仿宋" w:hAnsi="仿宋" w:cs="仿宋"/>
          <w:color w:val="000000"/>
          <w:sz w:val="30"/>
        </w:rPr>
        <w:t>区人力资源和社会保障局贯彻落实党中央、市委、区委关于人力资源和社会保障工作的方针政策和决策部署，在履行职责过程中坚持和加强党对人力资源和社会保障局工作的集中统一领导。主要职责是：</w:t>
      </w:r>
    </w:p>
    <w:p w14:paraId="4BBB81D9" w14:textId="77777777" w:rsidR="001677F8" w:rsidRDefault="001677F8" w:rsidP="001677F8">
      <w:pPr>
        <w:spacing w:line="560" w:lineRule="exact"/>
        <w:ind w:firstLine="600"/>
        <w:jc w:val="both"/>
        <w:rPr>
          <w:rFonts w:ascii="仿宋" w:eastAsia="仿宋" w:hAnsi="仿宋" w:cs="仿宋"/>
          <w:color w:val="000000"/>
          <w:sz w:val="30"/>
        </w:rPr>
      </w:pPr>
      <w:r w:rsidRPr="001677F8">
        <w:rPr>
          <w:rFonts w:ascii="仿宋" w:eastAsia="仿宋" w:hAnsi="仿宋" w:cs="仿宋" w:hint="eastAsia"/>
          <w:color w:val="000000"/>
          <w:sz w:val="30"/>
        </w:rPr>
        <w:t>1.</w:t>
      </w:r>
      <w:r w:rsidR="002538A1" w:rsidRPr="001677F8">
        <w:rPr>
          <w:rFonts w:ascii="仿宋" w:eastAsia="仿宋" w:hAnsi="仿宋" w:cs="仿宋"/>
          <w:color w:val="000000"/>
          <w:sz w:val="30"/>
        </w:rPr>
        <w:t>贯彻落实人力资源和社会保障工作法律法规，落实相关地方性规范、标准。</w:t>
      </w:r>
    </w:p>
    <w:p w14:paraId="67E358A2" w14:textId="77777777" w:rsidR="001677F8" w:rsidRDefault="002538A1" w:rsidP="001677F8">
      <w:pPr>
        <w:spacing w:line="560" w:lineRule="exact"/>
        <w:ind w:firstLine="600"/>
        <w:jc w:val="both"/>
        <w:rPr>
          <w:rFonts w:ascii="仿宋" w:eastAsia="仿宋" w:hAnsi="仿宋" w:cs="仿宋"/>
          <w:color w:val="000000"/>
          <w:sz w:val="30"/>
        </w:rPr>
      </w:pPr>
      <w:r w:rsidRPr="0010782F">
        <w:rPr>
          <w:rFonts w:ascii="仿宋" w:eastAsia="仿宋" w:hAnsi="仿宋" w:cs="仿宋"/>
          <w:color w:val="000000"/>
          <w:sz w:val="30"/>
        </w:rPr>
        <w:t>2.落实人力资源市场发展规划和人力资源引进开发政策，建立统一规范的人力资源市场，促进人力资源合理流动。</w:t>
      </w:r>
    </w:p>
    <w:p w14:paraId="7235C328" w14:textId="77777777" w:rsidR="001677F8" w:rsidRDefault="002538A1" w:rsidP="001677F8">
      <w:pPr>
        <w:spacing w:line="560" w:lineRule="exact"/>
        <w:ind w:firstLine="600"/>
        <w:jc w:val="both"/>
        <w:rPr>
          <w:rFonts w:ascii="仿宋" w:eastAsia="仿宋" w:hAnsi="仿宋" w:cs="仿宋"/>
          <w:color w:val="000000"/>
          <w:sz w:val="30"/>
        </w:rPr>
      </w:pPr>
      <w:r w:rsidRPr="0010782F">
        <w:rPr>
          <w:rFonts w:ascii="仿宋" w:eastAsia="仿宋" w:hAnsi="仿宋" w:cs="仿宋"/>
          <w:color w:val="000000"/>
          <w:sz w:val="30"/>
        </w:rPr>
        <w:t>3.负责促进就业工作，拟订本区就业扶持政策，落实统筹城乡的就业发展规划和政策，完善公共就业服务体系，实施就业援助制度。落实职业资格制度相关政策，实施面向城乡劳动者的职业培训制度。落实高校毕业生就业政策。落实高技能人才、农村实用人才培养和激励政策。</w:t>
      </w:r>
    </w:p>
    <w:p w14:paraId="6CD99CEA" w14:textId="77777777" w:rsidR="001677F8" w:rsidRDefault="002538A1" w:rsidP="001677F8">
      <w:pPr>
        <w:spacing w:line="560" w:lineRule="exact"/>
        <w:ind w:firstLine="600"/>
        <w:jc w:val="both"/>
        <w:rPr>
          <w:rFonts w:ascii="仿宋" w:eastAsia="仿宋" w:hAnsi="仿宋" w:cs="仿宋"/>
          <w:color w:val="000000"/>
          <w:sz w:val="30"/>
        </w:rPr>
      </w:pPr>
      <w:r w:rsidRPr="0010782F">
        <w:rPr>
          <w:rFonts w:ascii="仿宋" w:eastAsia="仿宋" w:hAnsi="仿宋" w:cs="仿宋"/>
          <w:color w:val="000000"/>
          <w:sz w:val="30"/>
        </w:rPr>
        <w:t>4.会同有关部门建立覆盖城乡的社会保障体系。落实养老和工伤、失业社会保险及其补充保险政策和标准，落实养老、工伤、失业社会保险关系转续办法。拟订本区养老保险扶持政策。落实养老、工伤、失业社会保险及其补充保险基金管理和监督制度</w:t>
      </w:r>
      <w:r w:rsidR="001677F8">
        <w:rPr>
          <w:rFonts w:ascii="仿宋" w:eastAsia="仿宋" w:hAnsi="仿宋" w:cs="仿宋" w:hint="eastAsia"/>
          <w:color w:val="000000"/>
          <w:sz w:val="30"/>
        </w:rPr>
        <w:t>。</w:t>
      </w:r>
    </w:p>
    <w:p w14:paraId="4B495304" w14:textId="17A45605" w:rsidR="001677F8" w:rsidRDefault="002538A1" w:rsidP="001677F8">
      <w:pPr>
        <w:spacing w:line="560" w:lineRule="exact"/>
        <w:ind w:firstLine="600"/>
        <w:jc w:val="both"/>
        <w:rPr>
          <w:rFonts w:ascii="仿宋" w:eastAsia="仿宋" w:hAnsi="仿宋" w:cs="仿宋"/>
          <w:color w:val="000000"/>
          <w:sz w:val="30"/>
        </w:rPr>
      </w:pPr>
      <w:r w:rsidRPr="0010782F">
        <w:rPr>
          <w:rFonts w:ascii="仿宋" w:eastAsia="仿宋" w:hAnsi="仿宋" w:cs="仿宋"/>
          <w:color w:val="000000"/>
          <w:sz w:val="30"/>
        </w:rPr>
        <w:t>5.会同有关部门指导事业单位人事制度改革，落实事业单位人员和机关工勤人员管理政策，参与人才管理工作，落实专</w:t>
      </w:r>
      <w:r w:rsidRPr="0010782F">
        <w:rPr>
          <w:rFonts w:ascii="仿宋" w:eastAsia="仿宋" w:hAnsi="仿宋" w:cs="仿宋"/>
          <w:color w:val="000000"/>
          <w:sz w:val="30"/>
        </w:rPr>
        <w:lastRenderedPageBreak/>
        <w:t>业技术人员管理和继续教育政策，推进深化职称制度改革工作。拟订本区人才政策，实施博士后管理制度，负责高层次专业技术人才选拔和培养工作。落实留学人员来津（回国）工作政</w:t>
      </w:r>
      <w:r w:rsidR="001677F8">
        <w:rPr>
          <w:rFonts w:ascii="仿宋" w:eastAsia="仿宋" w:hAnsi="仿宋" w:cs="仿宋" w:hint="eastAsia"/>
          <w:color w:val="000000"/>
          <w:sz w:val="30"/>
        </w:rPr>
        <w:t>策。</w:t>
      </w:r>
    </w:p>
    <w:p w14:paraId="1AE78DFA" w14:textId="77777777" w:rsidR="001677F8" w:rsidRDefault="002538A1" w:rsidP="001677F8">
      <w:pPr>
        <w:spacing w:line="560" w:lineRule="exact"/>
        <w:ind w:firstLine="600"/>
        <w:jc w:val="both"/>
        <w:rPr>
          <w:rFonts w:ascii="仿宋" w:eastAsia="仿宋" w:hAnsi="仿宋" w:cs="仿宋"/>
          <w:color w:val="000000"/>
          <w:sz w:val="30"/>
        </w:rPr>
      </w:pPr>
      <w:r w:rsidRPr="0010782F">
        <w:rPr>
          <w:rFonts w:ascii="仿宋" w:eastAsia="仿宋" w:hAnsi="仿宋" w:cs="仿宋"/>
          <w:color w:val="000000"/>
          <w:sz w:val="30"/>
        </w:rPr>
        <w:t>6.落实事业单位人员工资收入分配政策，落实企事业单位人员工资正常增长和支付保障机制，落实企业职工收入调控政策，实施最低工资制度，落实事业单位人员福利和离退休政</w:t>
      </w:r>
      <w:r w:rsidR="001677F8">
        <w:rPr>
          <w:rFonts w:ascii="仿宋" w:eastAsia="仿宋" w:hAnsi="仿宋" w:cs="仿宋" w:hint="eastAsia"/>
          <w:color w:val="000000"/>
          <w:sz w:val="30"/>
        </w:rPr>
        <w:t>策。</w:t>
      </w:r>
    </w:p>
    <w:p w14:paraId="6A8D62E7" w14:textId="77777777" w:rsidR="001677F8" w:rsidRDefault="002538A1" w:rsidP="001677F8">
      <w:pPr>
        <w:spacing w:line="560" w:lineRule="exact"/>
        <w:ind w:firstLine="600"/>
        <w:jc w:val="both"/>
        <w:rPr>
          <w:rFonts w:ascii="仿宋" w:eastAsia="仿宋" w:hAnsi="仿宋" w:cs="仿宋"/>
          <w:color w:val="000000"/>
          <w:sz w:val="30"/>
        </w:rPr>
      </w:pPr>
      <w:r w:rsidRPr="0010782F">
        <w:rPr>
          <w:rFonts w:ascii="仿宋" w:eastAsia="仿宋" w:hAnsi="仿宋" w:cs="仿宋"/>
          <w:color w:val="000000"/>
          <w:sz w:val="30"/>
        </w:rPr>
        <w:t>7.会同有关部门落实农民工工作综合性政策和规划，推动农民工相关政策落实，协调解决重点难点问题，维护农民工合法权益。</w:t>
      </w:r>
    </w:p>
    <w:p w14:paraId="709FAC36" w14:textId="77777777" w:rsidR="001677F8" w:rsidRDefault="002538A1" w:rsidP="001677F8">
      <w:pPr>
        <w:spacing w:line="560" w:lineRule="exact"/>
        <w:ind w:firstLine="600"/>
        <w:jc w:val="both"/>
        <w:rPr>
          <w:rFonts w:ascii="仿宋" w:eastAsia="仿宋" w:hAnsi="仿宋" w:cs="仿宋"/>
          <w:color w:val="000000"/>
          <w:sz w:val="30"/>
        </w:rPr>
      </w:pPr>
      <w:r w:rsidRPr="0010782F">
        <w:rPr>
          <w:rFonts w:ascii="仿宋" w:eastAsia="仿宋" w:hAnsi="仿宋" w:cs="仿宋"/>
          <w:color w:val="000000"/>
          <w:sz w:val="30"/>
        </w:rPr>
        <w:t>8.会同有关部门拟订本区荣誉制度和政府奖励制度，承担以区委、区政府名义及各系统表彰、奖励和授予荣誉称号的综合管理工作。</w:t>
      </w:r>
    </w:p>
    <w:p w14:paraId="7EF23B50" w14:textId="2DDA5C75" w:rsidR="001677F8" w:rsidRDefault="002538A1" w:rsidP="001677F8">
      <w:pPr>
        <w:spacing w:line="560" w:lineRule="exact"/>
        <w:ind w:firstLine="600"/>
        <w:jc w:val="both"/>
        <w:rPr>
          <w:rFonts w:ascii="仿宋" w:eastAsia="仿宋" w:hAnsi="仿宋" w:cs="仿宋"/>
          <w:color w:val="000000"/>
          <w:sz w:val="30"/>
        </w:rPr>
      </w:pPr>
      <w:r w:rsidRPr="0010782F">
        <w:rPr>
          <w:rFonts w:ascii="仿宋" w:eastAsia="仿宋" w:hAnsi="仿宋" w:cs="仿宋"/>
          <w:color w:val="000000"/>
          <w:sz w:val="30"/>
        </w:rPr>
        <w:t>9.落实劳动关系政策，完善劳动关系协调机制，落实消除非法使用童工政策和女工、未成年工的特殊劳动保护政策，组织实施劳动保障监察，协调劳动者维权工作，依法查处案件</w:t>
      </w:r>
      <w:r w:rsidR="001677F8">
        <w:rPr>
          <w:rFonts w:ascii="仿宋" w:eastAsia="仿宋" w:hAnsi="仿宋" w:cs="仿宋" w:hint="eastAsia"/>
          <w:color w:val="000000"/>
          <w:sz w:val="30"/>
        </w:rPr>
        <w:t>。</w:t>
      </w:r>
    </w:p>
    <w:p w14:paraId="31D00992" w14:textId="10525E14" w:rsidR="001677F8" w:rsidRDefault="002538A1" w:rsidP="001677F8">
      <w:pPr>
        <w:spacing w:line="560" w:lineRule="exact"/>
        <w:ind w:firstLine="600"/>
        <w:jc w:val="both"/>
        <w:rPr>
          <w:rFonts w:ascii="仿宋" w:eastAsia="仿宋" w:hAnsi="仿宋" w:cs="仿宋"/>
          <w:color w:val="000000"/>
          <w:sz w:val="30"/>
        </w:rPr>
      </w:pPr>
      <w:r w:rsidRPr="0010782F">
        <w:rPr>
          <w:rFonts w:ascii="仿宋" w:eastAsia="仿宋" w:hAnsi="仿宋" w:cs="仿宋"/>
          <w:color w:val="000000"/>
          <w:sz w:val="30"/>
        </w:rPr>
        <w:t>10.负责本区人力资源和社会保障领域安全生产管理工</w:t>
      </w:r>
      <w:r w:rsidR="001677F8">
        <w:rPr>
          <w:rFonts w:ascii="仿宋" w:eastAsia="仿宋" w:hAnsi="仿宋" w:cs="仿宋" w:hint="eastAsia"/>
          <w:color w:val="000000"/>
          <w:sz w:val="30"/>
        </w:rPr>
        <w:t>作。</w:t>
      </w:r>
    </w:p>
    <w:p w14:paraId="2C61AA6E" w14:textId="77777777" w:rsidR="001677F8" w:rsidRDefault="002538A1" w:rsidP="001677F8">
      <w:pPr>
        <w:spacing w:line="560" w:lineRule="exact"/>
        <w:ind w:firstLine="600"/>
        <w:jc w:val="both"/>
        <w:rPr>
          <w:rFonts w:ascii="仿宋" w:eastAsia="仿宋" w:hAnsi="仿宋" w:cs="仿宋"/>
          <w:color w:val="000000"/>
          <w:sz w:val="30"/>
        </w:rPr>
      </w:pPr>
      <w:r w:rsidRPr="0010782F">
        <w:rPr>
          <w:rFonts w:ascii="仿宋" w:eastAsia="仿宋" w:hAnsi="仿宋" w:cs="仿宋"/>
          <w:color w:val="000000"/>
          <w:sz w:val="30"/>
        </w:rPr>
        <w:t>11.负责本区人力资源和社会保障领域人才队伍建设。</w:t>
      </w:r>
    </w:p>
    <w:p w14:paraId="108A6C17" w14:textId="236F9078" w:rsidR="001677F8" w:rsidRDefault="002538A1" w:rsidP="001677F8">
      <w:pPr>
        <w:spacing w:line="560" w:lineRule="exact"/>
        <w:ind w:firstLine="600"/>
        <w:jc w:val="both"/>
        <w:rPr>
          <w:rFonts w:ascii="仿宋" w:eastAsia="仿宋" w:hAnsi="仿宋" w:cs="仿宋"/>
          <w:color w:val="000000"/>
          <w:sz w:val="30"/>
        </w:rPr>
      </w:pPr>
      <w:r w:rsidRPr="0010782F">
        <w:rPr>
          <w:rFonts w:ascii="仿宋" w:eastAsia="仿宋" w:hAnsi="仿宋" w:cs="仿宋"/>
          <w:color w:val="000000"/>
          <w:sz w:val="30"/>
        </w:rPr>
        <w:t>12.负责本区人力资源和社会保障领域对外合作与交流</w:t>
      </w:r>
      <w:r w:rsidR="001677F8">
        <w:rPr>
          <w:rFonts w:ascii="仿宋" w:eastAsia="仿宋" w:hAnsi="仿宋" w:cs="仿宋" w:hint="eastAsia"/>
          <w:color w:val="000000"/>
          <w:sz w:val="30"/>
        </w:rPr>
        <w:t>工作。</w:t>
      </w:r>
    </w:p>
    <w:p w14:paraId="113816DC" w14:textId="17B2F5A0" w:rsidR="001677F8" w:rsidRDefault="002538A1" w:rsidP="001677F8">
      <w:pPr>
        <w:spacing w:line="560" w:lineRule="exact"/>
        <w:ind w:firstLine="600"/>
        <w:jc w:val="both"/>
        <w:rPr>
          <w:rFonts w:ascii="仿宋" w:eastAsia="仿宋" w:hAnsi="仿宋" w:cs="仿宋"/>
          <w:color w:val="000000"/>
          <w:sz w:val="30"/>
        </w:rPr>
      </w:pPr>
      <w:r w:rsidRPr="0010782F">
        <w:rPr>
          <w:rFonts w:ascii="仿宋" w:eastAsia="仿宋" w:hAnsi="仿宋" w:cs="仿宋"/>
          <w:color w:val="000000"/>
          <w:sz w:val="30"/>
        </w:rPr>
        <w:t>13.组织推动本区人力资源和社会保障领域招商引资工</w:t>
      </w:r>
      <w:r w:rsidR="001677F8">
        <w:rPr>
          <w:rFonts w:ascii="仿宋" w:eastAsia="仿宋" w:hAnsi="仿宋" w:cs="仿宋" w:hint="eastAsia"/>
          <w:color w:val="000000"/>
          <w:sz w:val="30"/>
        </w:rPr>
        <w:t>作。</w:t>
      </w:r>
    </w:p>
    <w:p w14:paraId="51DD5214" w14:textId="46644F04" w:rsidR="007D568F" w:rsidRPr="0010782F" w:rsidRDefault="002538A1" w:rsidP="001677F8">
      <w:pPr>
        <w:spacing w:line="560" w:lineRule="exact"/>
        <w:ind w:firstLine="600"/>
        <w:jc w:val="both"/>
        <w:rPr>
          <w:rFonts w:ascii="仿宋" w:eastAsia="仿宋" w:hAnsi="仿宋" w:cs="仿宋" w:hint="eastAsia"/>
          <w:color w:val="000000"/>
          <w:sz w:val="30"/>
        </w:rPr>
      </w:pPr>
      <w:r w:rsidRPr="0010782F">
        <w:rPr>
          <w:rFonts w:ascii="仿宋" w:eastAsia="仿宋" w:hAnsi="仿宋" w:cs="仿宋"/>
          <w:color w:val="000000"/>
          <w:sz w:val="30"/>
        </w:rPr>
        <w:t>14.完成区委、区政府交办的其他事项。</w:t>
      </w:r>
    </w:p>
    <w:p w14:paraId="32A2A880" w14:textId="77777777" w:rsidR="007D568F" w:rsidRDefault="002538A1">
      <w:pPr>
        <w:spacing w:line="560" w:lineRule="exact"/>
        <w:ind w:firstLine="600"/>
        <w:jc w:val="both"/>
        <w:rPr>
          <w:rFonts w:hint="eastAsia"/>
        </w:rPr>
      </w:pPr>
      <w:r>
        <w:rPr>
          <w:rFonts w:ascii="黑体" w:eastAsia="黑体" w:hAnsi="黑体" w:cs="黑体"/>
          <w:b/>
          <w:color w:val="000000"/>
          <w:sz w:val="30"/>
        </w:rPr>
        <w:t>二、机构设置情况</w:t>
      </w:r>
    </w:p>
    <w:p w14:paraId="25270B2C" w14:textId="77777777" w:rsidR="007D568F" w:rsidRDefault="002538A1">
      <w:pPr>
        <w:spacing w:line="560" w:lineRule="exact"/>
        <w:ind w:firstLine="600"/>
        <w:jc w:val="both"/>
        <w:rPr>
          <w:rFonts w:hint="eastAsia"/>
        </w:rPr>
      </w:pPr>
      <w:r>
        <w:rPr>
          <w:rFonts w:ascii="仿宋" w:eastAsia="仿宋" w:hAnsi="仿宋" w:cs="仿宋"/>
          <w:color w:val="000000"/>
          <w:sz w:val="30"/>
        </w:rPr>
        <w:lastRenderedPageBreak/>
        <w:t>天津市西青区人力资源和社会保障局部门内设8个职能科室；下辖4个预算单位。</w:t>
      </w:r>
    </w:p>
    <w:p w14:paraId="65E45433" w14:textId="77777777" w:rsidR="007D568F" w:rsidRDefault="002538A1">
      <w:pPr>
        <w:spacing w:line="560" w:lineRule="exact"/>
        <w:ind w:firstLine="600"/>
        <w:jc w:val="both"/>
        <w:rPr>
          <w:rFonts w:hint="eastAsia"/>
        </w:rPr>
      </w:pPr>
      <w:r>
        <w:rPr>
          <w:rFonts w:ascii="仿宋" w:eastAsia="仿宋" w:hAnsi="仿宋" w:cs="仿宋"/>
          <w:color w:val="000000"/>
          <w:sz w:val="30"/>
        </w:rPr>
        <w:t>纳入天津市西青区人力资源和社会保障局部门2025年部门预算编制范围的预算单位包括：</w:t>
      </w:r>
    </w:p>
    <w:p w14:paraId="037F11BB" w14:textId="77777777" w:rsidR="007D568F" w:rsidRDefault="002538A1">
      <w:pPr>
        <w:spacing w:line="560" w:lineRule="exact"/>
        <w:ind w:firstLine="600"/>
        <w:jc w:val="both"/>
        <w:rPr>
          <w:rFonts w:hint="eastAsia"/>
        </w:rPr>
      </w:pPr>
      <w:r>
        <w:rPr>
          <w:rFonts w:ascii="仿宋" w:eastAsia="仿宋" w:hAnsi="仿宋" w:cs="仿宋"/>
          <w:color w:val="000000"/>
          <w:sz w:val="30"/>
        </w:rPr>
        <w:t>1.天津市西青区人力资源和社会保障局</w:t>
      </w:r>
    </w:p>
    <w:p w14:paraId="3CD7E74F" w14:textId="77777777" w:rsidR="007D568F" w:rsidRDefault="002538A1">
      <w:pPr>
        <w:spacing w:line="560" w:lineRule="exact"/>
        <w:ind w:firstLine="600"/>
        <w:jc w:val="both"/>
        <w:rPr>
          <w:rFonts w:hint="eastAsia"/>
        </w:rPr>
      </w:pPr>
      <w:r>
        <w:rPr>
          <w:rFonts w:ascii="仿宋" w:eastAsia="仿宋" w:hAnsi="仿宋" w:cs="仿宋"/>
          <w:color w:val="000000"/>
          <w:sz w:val="30"/>
        </w:rPr>
        <w:t>2.天津市西青区公共就业（人才）服务中心</w:t>
      </w:r>
    </w:p>
    <w:p w14:paraId="41D19A44" w14:textId="77777777" w:rsidR="007D568F" w:rsidRDefault="002538A1">
      <w:pPr>
        <w:spacing w:line="560" w:lineRule="exact"/>
        <w:ind w:firstLine="600"/>
        <w:jc w:val="both"/>
        <w:rPr>
          <w:rFonts w:hint="eastAsia"/>
        </w:rPr>
      </w:pPr>
      <w:r>
        <w:rPr>
          <w:rFonts w:ascii="仿宋" w:eastAsia="仿宋" w:hAnsi="仿宋" w:cs="仿宋"/>
          <w:color w:val="000000"/>
          <w:sz w:val="30"/>
        </w:rPr>
        <w:t>3.天津市西青区人力资源和社会保障监察事务中心</w:t>
      </w:r>
    </w:p>
    <w:p w14:paraId="2117F101" w14:textId="77777777" w:rsidR="007D568F" w:rsidRDefault="002538A1">
      <w:pPr>
        <w:spacing w:line="560" w:lineRule="exact"/>
        <w:ind w:firstLine="600"/>
        <w:jc w:val="both"/>
        <w:rPr>
          <w:rFonts w:hint="eastAsia"/>
        </w:rPr>
      </w:pPr>
      <w:r>
        <w:rPr>
          <w:rFonts w:ascii="仿宋" w:eastAsia="仿宋" w:hAnsi="仿宋" w:cs="仿宋"/>
          <w:color w:val="000000"/>
          <w:sz w:val="30"/>
        </w:rPr>
        <w:t>4.天津市西青区劳动人事争议仲裁院</w:t>
      </w:r>
    </w:p>
    <w:p w14:paraId="2E858616" w14:textId="77777777" w:rsidR="007D568F" w:rsidRDefault="002538A1">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  2025年度部门预算情况说明</w:t>
      </w:r>
    </w:p>
    <w:p w14:paraId="5375C1D9" w14:textId="77777777" w:rsidR="007D568F" w:rsidRDefault="002538A1">
      <w:pPr>
        <w:spacing w:line="560" w:lineRule="exact"/>
        <w:ind w:firstLine="600"/>
        <w:jc w:val="both"/>
        <w:rPr>
          <w:rFonts w:hint="eastAsia"/>
        </w:rPr>
      </w:pPr>
      <w:r>
        <w:rPr>
          <w:rFonts w:ascii="黑体" w:eastAsia="黑体" w:hAnsi="黑体" w:cs="黑体"/>
          <w:b/>
          <w:color w:val="000000"/>
          <w:sz w:val="30"/>
        </w:rPr>
        <w:t>一、关于收支总体情况表的说明</w:t>
      </w:r>
    </w:p>
    <w:p w14:paraId="679A8316" w14:textId="77777777" w:rsidR="007D568F" w:rsidRDefault="002538A1">
      <w:pPr>
        <w:spacing w:line="560" w:lineRule="exact"/>
        <w:ind w:firstLine="600"/>
        <w:jc w:val="both"/>
        <w:rPr>
          <w:rFonts w:hint="eastAsia"/>
        </w:rPr>
      </w:pPr>
      <w:r>
        <w:rPr>
          <w:rFonts w:ascii="仿宋" w:eastAsia="仿宋" w:hAnsi="仿宋" w:cs="仿宋"/>
          <w:color w:val="000000"/>
          <w:sz w:val="30"/>
        </w:rPr>
        <w:t>按照综合预算的原则，天津市西青区人力资源和社会保障局部门所有收入和支出均纳入部门预算管理。收入包括：一般公共预算拨款收入54,995.65万元、政府性基金预算拨款收入0万元、国有资本经营预算拨款收入3.00万元、财政专户管理资金收入0万元、事业收入0万元、事业单位经营收入0万元、上级补助收入0万元、附属单位上缴收入0万元、其他收入0万元、上年结转结余2,887.01万元；支出包括：农林水支出181.73万元、国有资本经营预算支出5.20万元、教育支出87.20万元、社会保障和就业支出57,497.89万元、卫生健康支出113.64万元。天津市西青区人力资源和社会保障局部门2025年收支总预算57,885.66万元。</w:t>
      </w:r>
    </w:p>
    <w:p w14:paraId="2DA3DA5B" w14:textId="77777777" w:rsidR="007D568F" w:rsidRDefault="002538A1">
      <w:pPr>
        <w:spacing w:line="560" w:lineRule="exact"/>
        <w:ind w:firstLine="600"/>
        <w:jc w:val="both"/>
        <w:rPr>
          <w:rFonts w:hint="eastAsia"/>
        </w:rPr>
      </w:pPr>
      <w:r>
        <w:rPr>
          <w:rFonts w:ascii="黑体" w:eastAsia="黑体" w:hAnsi="黑体" w:cs="黑体"/>
          <w:b/>
          <w:color w:val="000000"/>
          <w:sz w:val="30"/>
        </w:rPr>
        <w:t>二、关于收入总体情况表的说明</w:t>
      </w:r>
    </w:p>
    <w:p w14:paraId="01FC961A" w14:textId="77777777" w:rsidR="007D568F" w:rsidRDefault="002538A1">
      <w:pPr>
        <w:spacing w:line="560" w:lineRule="exact"/>
        <w:ind w:firstLine="600"/>
        <w:jc w:val="both"/>
        <w:rPr>
          <w:rFonts w:hint="eastAsia"/>
        </w:rPr>
      </w:pPr>
      <w:r>
        <w:rPr>
          <w:rFonts w:ascii="仿宋" w:eastAsia="仿宋" w:hAnsi="仿宋" w:cs="仿宋"/>
          <w:color w:val="000000"/>
          <w:sz w:val="30"/>
        </w:rPr>
        <w:t>天津市西青区人力资源和社会保障局部门2025年部门预算收入57,885.66万元，与上年预算相比增加8,358.54万元，主要原因是本年提前下达2025年就业补助资金、城乡居民养老保险补贴等中央及市级资金预算增加。其中：上年结转结余2,887.01万元，占4.99%；一般公共预算54,995.65万元，占95.01%；政府性基金预算0万元，占0%；国有资本经营预算3.00万元，占0.01%；财政专户管理资金0万元，占0%；事业收入0万元，占0%；事业单位经营收入0万元，占0%；上级补助收入0万元，占0%；附属单位上缴收入0万元，占0%；其他</w:t>
      </w:r>
      <w:r>
        <w:rPr>
          <w:rFonts w:ascii="仿宋" w:eastAsia="仿宋" w:hAnsi="仿宋" w:cs="仿宋"/>
          <w:color w:val="000000"/>
          <w:sz w:val="30"/>
        </w:rPr>
        <w:lastRenderedPageBreak/>
        <w:t>收入0万元，占0%。</w:t>
      </w:r>
    </w:p>
    <w:p w14:paraId="52170A08" w14:textId="77777777" w:rsidR="007D568F" w:rsidRDefault="002538A1">
      <w:pPr>
        <w:spacing w:line="560" w:lineRule="exact"/>
        <w:ind w:firstLine="600"/>
        <w:jc w:val="both"/>
        <w:rPr>
          <w:rFonts w:hint="eastAsia"/>
        </w:rPr>
      </w:pPr>
      <w:r>
        <w:rPr>
          <w:rFonts w:ascii="黑体" w:eastAsia="黑体" w:hAnsi="黑体" w:cs="黑体"/>
          <w:b/>
          <w:color w:val="000000"/>
          <w:sz w:val="30"/>
        </w:rPr>
        <w:t>三、关于支出总体情况表的说明</w:t>
      </w:r>
    </w:p>
    <w:p w14:paraId="58E8C3A7" w14:textId="77777777" w:rsidR="007D568F" w:rsidRDefault="002538A1">
      <w:pPr>
        <w:spacing w:line="560" w:lineRule="exact"/>
        <w:ind w:firstLine="600"/>
        <w:jc w:val="both"/>
        <w:rPr>
          <w:rFonts w:hint="eastAsia"/>
        </w:rPr>
      </w:pPr>
      <w:r>
        <w:rPr>
          <w:rFonts w:ascii="仿宋" w:eastAsia="仿宋" w:hAnsi="仿宋" w:cs="仿宋"/>
          <w:color w:val="000000"/>
          <w:sz w:val="30"/>
        </w:rPr>
        <w:t>天津市西青区人力资源和社会保障局部门2025年支出预算57,885.66万元，与上年预算相比增加8,358.54万元，主要原因是本年提前下达2025年就业补助资金、城乡居民养老保险补贴等中央及市级资金预算增加。其中：基本支出2,666.63万元，占4.61%；项目支出55,219.03万元，占95.39%；事业单位经营支出0万元，占0%；上缴上级支出0万元，占0%；对附属单位补助支出0万元，占0%。</w:t>
      </w:r>
    </w:p>
    <w:p w14:paraId="74A6B9FA" w14:textId="77777777" w:rsidR="007D568F" w:rsidRDefault="002538A1">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3B39A3A2" w14:textId="77777777" w:rsidR="007D568F" w:rsidRDefault="002538A1">
      <w:pPr>
        <w:spacing w:line="560" w:lineRule="exact"/>
        <w:ind w:firstLine="600"/>
        <w:jc w:val="both"/>
        <w:rPr>
          <w:rFonts w:hint="eastAsia"/>
        </w:rPr>
      </w:pPr>
      <w:r>
        <w:rPr>
          <w:rFonts w:ascii="仿宋" w:eastAsia="仿宋" w:hAnsi="仿宋" w:cs="仿宋"/>
          <w:color w:val="000000"/>
          <w:sz w:val="30"/>
        </w:rPr>
        <w:t>天津市西青区人力资源和社会保障局部门2025年财政拨款收入预算57,885.66万元，与上年预算相比增加8,358.54万元，主要原因是本年提前下达2025年就业补助资金、城乡居民养老补贴等中央及市级资金预算增加。收入包括：一般公共预算拨款收入54,995.65万元、政府性基金预算拨款收入0万元、上年财政结转结余2,887.01万元、国有资本经营预算拨款收入3.00万元、2025年财政拨款支出预算57,885.66万元，与上年预算相比增加8,358.54万元，主要原因是本年提前下达2025年就业补助资金、城乡居民养老补贴等中央及市级资金预算增加。支出包括：教育支出87.20万元 ；社会保障和就业支出57,497.89万元 ；卫生健康支出113.64万元 ；农林水支出181.73万元 ；国有资本经营预算支出5.20万元。</w:t>
      </w:r>
    </w:p>
    <w:p w14:paraId="2D47426A" w14:textId="77777777" w:rsidR="007D568F" w:rsidRDefault="002538A1">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21CB97B4" w14:textId="77777777" w:rsidR="007D568F" w:rsidRDefault="002538A1">
      <w:pPr>
        <w:spacing w:line="560" w:lineRule="exact"/>
        <w:ind w:firstLine="600"/>
        <w:jc w:val="both"/>
        <w:rPr>
          <w:rFonts w:hint="eastAsia"/>
        </w:rPr>
      </w:pPr>
      <w:r>
        <w:rPr>
          <w:rFonts w:ascii="楷体" w:eastAsia="楷体" w:hAnsi="楷体" w:cs="楷体"/>
          <w:b/>
          <w:color w:val="000000"/>
          <w:sz w:val="30"/>
        </w:rPr>
        <w:lastRenderedPageBreak/>
        <w:t>（一）总体情况</w:t>
      </w:r>
    </w:p>
    <w:p w14:paraId="1A879AE7" w14:textId="77777777" w:rsidR="007D568F" w:rsidRDefault="002538A1">
      <w:pPr>
        <w:spacing w:line="560" w:lineRule="exact"/>
        <w:ind w:firstLine="600"/>
        <w:jc w:val="both"/>
        <w:rPr>
          <w:rFonts w:hint="eastAsia"/>
        </w:rPr>
      </w:pPr>
      <w:r>
        <w:rPr>
          <w:rFonts w:ascii="仿宋" w:eastAsia="仿宋" w:hAnsi="仿宋" w:cs="仿宋"/>
          <w:color w:val="000000"/>
          <w:sz w:val="30"/>
        </w:rPr>
        <w:t>天津市西青区人力资源和社会保障局部门2025年一般公共预算支出57,880.46万元(上年49,520.07万元），与上年预算相比增加8,360.39万元，主要原因是本年提前下达2025年就业补助资金、城乡居民养老补贴等中央及市级资金预算增加。</w:t>
      </w:r>
    </w:p>
    <w:p w14:paraId="5F4E4078" w14:textId="77777777" w:rsidR="007D568F" w:rsidRDefault="002538A1">
      <w:pPr>
        <w:spacing w:line="560" w:lineRule="exact"/>
        <w:ind w:firstLine="600"/>
        <w:jc w:val="both"/>
        <w:rPr>
          <w:rFonts w:hint="eastAsia"/>
        </w:rPr>
      </w:pPr>
      <w:r>
        <w:rPr>
          <w:rFonts w:ascii="楷体" w:eastAsia="楷体" w:hAnsi="楷体" w:cs="楷体"/>
          <w:b/>
          <w:color w:val="000000"/>
          <w:sz w:val="30"/>
        </w:rPr>
        <w:t>（二）具体情况</w:t>
      </w:r>
    </w:p>
    <w:p w14:paraId="580C3068" w14:textId="77777777" w:rsidR="007D568F" w:rsidRDefault="002538A1">
      <w:pPr>
        <w:spacing w:line="560" w:lineRule="exact"/>
        <w:ind w:firstLine="600"/>
        <w:jc w:val="both"/>
        <w:rPr>
          <w:rFonts w:hint="eastAsia"/>
        </w:rPr>
      </w:pPr>
      <w:r>
        <w:rPr>
          <w:rFonts w:ascii="仿宋" w:eastAsia="仿宋" w:hAnsi="仿宋" w:cs="仿宋"/>
          <w:color w:val="000000"/>
          <w:sz w:val="30"/>
        </w:rPr>
        <w:t>1、“教育支出（类）”87.20万元，与上年预算相比减少6.63万元，主要原因是本年提前下达2025年高校毕业生“三支一扶”补助经费市级资金预算减少。其中：“普通教育（款）”83.30万元，包括：“其他普通教育支出（项）”83.30万元，主要用于2025年三支一扶人员生活费补贴、公积金社保缴纳等支出。</w:t>
      </w:r>
    </w:p>
    <w:p w14:paraId="66A9E670" w14:textId="77777777" w:rsidR="007D568F" w:rsidRDefault="002538A1">
      <w:pPr>
        <w:spacing w:line="560" w:lineRule="exact"/>
        <w:ind w:firstLine="600"/>
        <w:jc w:val="both"/>
        <w:rPr>
          <w:rFonts w:hint="eastAsia"/>
        </w:rPr>
      </w:pPr>
      <w:r>
        <w:rPr>
          <w:rFonts w:ascii="仿宋" w:eastAsia="仿宋" w:hAnsi="仿宋" w:cs="仿宋"/>
          <w:color w:val="000000"/>
          <w:sz w:val="30"/>
        </w:rPr>
        <w:t>“进修及培训（款）”3.90万元，包括：“培训支出（项）”3.90万元，主要用于在职职工教育培训支出。</w:t>
      </w:r>
    </w:p>
    <w:p w14:paraId="1EFA3CAB" w14:textId="77777777" w:rsidR="007D568F" w:rsidRDefault="002538A1">
      <w:pPr>
        <w:spacing w:line="560" w:lineRule="exact"/>
        <w:ind w:firstLine="600"/>
        <w:jc w:val="both"/>
        <w:rPr>
          <w:rFonts w:hint="eastAsia"/>
        </w:rPr>
      </w:pPr>
      <w:r>
        <w:rPr>
          <w:rFonts w:ascii="仿宋" w:eastAsia="仿宋" w:hAnsi="仿宋" w:cs="仿宋"/>
          <w:color w:val="000000"/>
          <w:sz w:val="30"/>
        </w:rPr>
        <w:t>2、“社会保障和就业支出（类）”57,497.89万元，与上年预算相比增加8,439.86万元，主要原因是本年提前下达2025年就业补助资金、城乡居民养老补贴等中央及市级资金预算增加。其中：“人力资源和社会保障管理事务（款）”4,395.87万元，包括：“行政运行（人力资源和社会保障管理事务）（项）”1,049.67万元，主要用于人力资源和社会保障局机关人员工资福利支出及公用经费支出等；“一般行政管理事务（人力资源和社会保障管理事务）（项）”41.00万元，主要用于公务员及事业人事管理软件、编外人员管理软</w:t>
      </w:r>
      <w:r>
        <w:rPr>
          <w:rFonts w:ascii="仿宋" w:eastAsia="仿宋" w:hAnsi="仿宋" w:cs="仿宋"/>
          <w:color w:val="000000"/>
          <w:sz w:val="30"/>
        </w:rPr>
        <w:lastRenderedPageBreak/>
        <w:t>件、智慧仲裁系统等维修维护服务费；“劳动保障监察（项）”139.81万元，主要用于区人社监察事务中心在职人员工资福利支出及劳动保障监察专项业务费用支出；“劳动人事争议调解仲裁（项）”426.04万元，主要用于劳动人事争议仲裁在职人员工资福利支出、聘用兼职仲裁员及邮寄费专项业务费用支出；“引进人才费用（项）”900.00万元，主要用于人才发展专项资金、创新创业引进英才相关经费等兑现人才政策支出；“事业运行（人力资源和社会保障管理事务）（项）”847.21万元，主要用于公共就业（人才）服务中心在职人员工资福利支出及公用经费支出等；“其他人力资源和社会保障管理事务支出（项）”992.14万元，主要用于于区农民养老补贴及原农业户籍居民养老保险补贴、综合业务费、事业单位定期奖励等项目费用支出。</w:t>
      </w:r>
    </w:p>
    <w:p w14:paraId="00F627C5" w14:textId="77777777" w:rsidR="007D568F" w:rsidRDefault="002538A1">
      <w:pPr>
        <w:spacing w:line="560" w:lineRule="exact"/>
        <w:ind w:firstLine="600"/>
        <w:jc w:val="both"/>
        <w:rPr>
          <w:rFonts w:hint="eastAsia"/>
        </w:rPr>
      </w:pPr>
      <w:r>
        <w:rPr>
          <w:rFonts w:ascii="仿宋" w:eastAsia="仿宋" w:hAnsi="仿宋" w:cs="仿宋"/>
          <w:color w:val="000000"/>
          <w:sz w:val="30"/>
        </w:rPr>
        <w:t>“行政事业单位养老支出（款）”20,514.78万元，包括：“行政单位离退休（项）”11.66万元，主要用于行政单位退休人员取暖、物业补贴及慰问金等支出；“事业单位离退休（项）”2.86万元，主要用于事业单位退休人员取暖、物业补贴及慰问金等支出；“机关事业单位基本养老保险缴费支出（项）”159.23万元，主要用于机关事业单位基本养老保险缴费支出；“机关事业单位职业年金缴费支出（项）”1,558.13万元，主要用于机关事业单位职业年金缴费支出及西青区职业年金做实项目支出；“对机关事业单位基本养老保险基金的补助（项）”18,782.90万元，主要用于归集机关事业单位基本养老保险补助资金。</w:t>
      </w:r>
    </w:p>
    <w:p w14:paraId="7E605427" w14:textId="77777777" w:rsidR="007D568F" w:rsidRDefault="002538A1">
      <w:pPr>
        <w:spacing w:line="560" w:lineRule="exact"/>
        <w:ind w:firstLine="600"/>
        <w:jc w:val="both"/>
        <w:rPr>
          <w:rFonts w:hint="eastAsia"/>
        </w:rPr>
      </w:pPr>
      <w:r>
        <w:rPr>
          <w:rFonts w:ascii="仿宋" w:eastAsia="仿宋" w:hAnsi="仿宋" w:cs="仿宋"/>
          <w:color w:val="000000"/>
          <w:sz w:val="30"/>
        </w:rPr>
        <w:lastRenderedPageBreak/>
        <w:t>“就业补助（款）”9,005.64万元，包括：“就业创业服务补贴（项）”651.29万元，主要用于支持加强公共就业服务机构提升创业服务能力和向社会力量购买就业创业服务的补助支出；“职业培训补贴（项）”1,013.96万元，主要用于落实相关职业培训政策方面的补贴支出；“社会保险补贴（项）”3,297.14万元，主要用于对符合条件人员就业后缴纳的社会保险给予的补贴支出；“公益性岗位补贴（项）”1,188.49万元，主要用于对符合条件的就业困难人员在公益性岗位就业后给予的岗位补贴支出；“就业见习补贴（项）”2,088.19万元，主要用于对符合条件的高校毕业生给予就业见习基本生活费补贴；“其他就业补助支出（项）”766.58万元，主要用于发放吸纳高校毕业生、就业困难人员一次性补贴等其他促进就业的补助支出。</w:t>
      </w:r>
    </w:p>
    <w:p w14:paraId="50896716" w14:textId="77777777" w:rsidR="007D568F" w:rsidRDefault="002538A1">
      <w:pPr>
        <w:spacing w:line="560" w:lineRule="exact"/>
        <w:ind w:firstLine="600"/>
        <w:jc w:val="both"/>
        <w:rPr>
          <w:rFonts w:hint="eastAsia"/>
        </w:rPr>
      </w:pPr>
      <w:r>
        <w:rPr>
          <w:rFonts w:ascii="仿宋" w:eastAsia="仿宋" w:hAnsi="仿宋" w:cs="仿宋"/>
          <w:color w:val="000000"/>
          <w:sz w:val="30"/>
        </w:rPr>
        <w:t>“财政对基本养老保险基金的补助（款）”23,581.60万元，包括：“财政对企业职工基本养老保险基金的补助（项）”4,915.00万元，主要用于归集企业职工基本养老保险补助资金；“财政对城乡居民基本养老保险基金的补助（项）”18,666.60万元，主要用于归集城乡居民基本养老保险补助资金。</w:t>
      </w:r>
    </w:p>
    <w:p w14:paraId="4244933B" w14:textId="77777777" w:rsidR="007D568F" w:rsidRDefault="002538A1">
      <w:pPr>
        <w:spacing w:line="560" w:lineRule="exact"/>
        <w:ind w:firstLine="600"/>
        <w:jc w:val="both"/>
        <w:rPr>
          <w:rFonts w:hint="eastAsia"/>
        </w:rPr>
      </w:pPr>
      <w:r>
        <w:rPr>
          <w:rFonts w:ascii="仿宋" w:eastAsia="仿宋" w:hAnsi="仿宋" w:cs="仿宋"/>
          <w:color w:val="000000"/>
          <w:sz w:val="30"/>
        </w:rPr>
        <w:t>3、“卫生健康支出（类）”113.64万元，与上年预算相比减少3.57万元，主要原因是本年较上年人员减少，医疗保险缴费较上年减少。其中：“行政事业单位医疗（款）”113.64万元，包括：“行政单位医疗（项）”49.58万元，主要用于机关单位在职人员基本医疗缴费；“事业单位医疗</w:t>
      </w:r>
      <w:r>
        <w:rPr>
          <w:rFonts w:ascii="仿宋" w:eastAsia="仿宋" w:hAnsi="仿宋" w:cs="仿宋"/>
          <w:color w:val="000000"/>
          <w:sz w:val="30"/>
        </w:rPr>
        <w:lastRenderedPageBreak/>
        <w:t>（项）”49.93万元，主要用于事业单位在职人员基本医疗缴费；“公务员医疗补助（项）”9.30万元，主要用于公务员医疗补助缴费；“其他行政事业单位医疗支出（项）”4.83万元，主要用于事业单位在职人员补充医疗保险缴费。</w:t>
      </w:r>
    </w:p>
    <w:p w14:paraId="5BD108E9" w14:textId="77777777" w:rsidR="007D568F" w:rsidRDefault="002538A1">
      <w:pPr>
        <w:spacing w:line="560" w:lineRule="exact"/>
        <w:ind w:firstLine="600"/>
        <w:jc w:val="both"/>
        <w:rPr>
          <w:rFonts w:hint="eastAsia"/>
        </w:rPr>
      </w:pPr>
      <w:r>
        <w:rPr>
          <w:rFonts w:ascii="仿宋" w:eastAsia="仿宋" w:hAnsi="仿宋" w:cs="仿宋"/>
          <w:color w:val="000000"/>
          <w:sz w:val="30"/>
        </w:rPr>
        <w:t>4、“农林水支出（类）”181.73万元，与上年预算相比减少69.27万元，主要原因是本年创业担保贷款贴息项目预算减少。其中：“普惠金融发展支出（款）”181.73万元，包括：“创业担保贷款贴息及奖补（项）”181.73万元，主要用于符合条件的人员从事微利项目创业担保贷款的贴息支出。</w:t>
      </w:r>
    </w:p>
    <w:p w14:paraId="7D4FC19C" w14:textId="77777777" w:rsidR="007D568F" w:rsidRDefault="002538A1">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77C37E3F" w14:textId="77777777" w:rsidR="007D568F" w:rsidRDefault="002538A1">
      <w:pPr>
        <w:spacing w:line="560" w:lineRule="exact"/>
        <w:ind w:firstLine="600"/>
        <w:jc w:val="both"/>
        <w:rPr>
          <w:rFonts w:hint="eastAsia"/>
        </w:rPr>
      </w:pPr>
      <w:r>
        <w:rPr>
          <w:rFonts w:ascii="仿宋" w:eastAsia="仿宋" w:hAnsi="仿宋" w:cs="仿宋"/>
          <w:color w:val="000000"/>
          <w:sz w:val="30"/>
        </w:rPr>
        <w:t>天津市西青区人力资源和社会保障局部门2025年一般公共预算基本支出 2,666.63万元，与上年预算相比减少35.81万元，主要原因是本年较上年人员减少，相应的人员经费及公用经费都较上年减少。其中：人员经费 2,318.51万元，主要包括：基本工资、津贴补贴、奖金、绩效工资、机关事业单位基本养老保险缴费、职业年金缴费、职工基本医疗保险缴费、公务员医疗补助缴费、其他社会保障缴费、住房公积金、医疗费、其他工资福利支出、退休费、医疗费补助、奖励金、其他对个人和家庭的补助等；</w:t>
      </w:r>
    </w:p>
    <w:p w14:paraId="21CF2B67" w14:textId="77777777" w:rsidR="007D568F" w:rsidRDefault="002538A1">
      <w:pPr>
        <w:spacing w:line="560" w:lineRule="exact"/>
        <w:ind w:firstLine="600"/>
        <w:jc w:val="both"/>
        <w:rPr>
          <w:rFonts w:hint="eastAsia"/>
        </w:rPr>
      </w:pPr>
      <w:r>
        <w:rPr>
          <w:rFonts w:ascii="仿宋" w:eastAsia="仿宋" w:hAnsi="仿宋" w:cs="仿宋"/>
          <w:color w:val="000000"/>
          <w:sz w:val="30"/>
        </w:rPr>
        <w:t>公用经费348.12万元，主要包括：办公费、水费、电费、邮电费、取暖费、物业管理费、差旅费、维修（护）费、培训费、委托业务费、工会经费、福利费、其他交通费用、其他商品和服务支出、办公设备购置等。</w:t>
      </w:r>
    </w:p>
    <w:p w14:paraId="23C0D347" w14:textId="77777777" w:rsidR="007D568F" w:rsidRDefault="002538A1">
      <w:pPr>
        <w:spacing w:line="560" w:lineRule="exact"/>
        <w:ind w:firstLine="600"/>
        <w:jc w:val="both"/>
        <w:rPr>
          <w:rFonts w:hint="eastAsia"/>
        </w:rPr>
      </w:pPr>
      <w:r>
        <w:rPr>
          <w:rFonts w:ascii="黑体" w:eastAsia="黑体" w:hAnsi="黑体" w:cs="黑体"/>
          <w:b/>
          <w:color w:val="000000"/>
          <w:sz w:val="30"/>
        </w:rPr>
        <w:lastRenderedPageBreak/>
        <w:t>七、关于一般公共预算“三公”经费支出情况表的说明</w:t>
      </w:r>
      <w:r>
        <w:rPr>
          <w:rFonts w:ascii="仿宋" w:eastAsia="仿宋" w:hAnsi="仿宋" w:cs="仿宋"/>
          <w:color w:val="000000"/>
          <w:sz w:val="30"/>
        </w:rPr>
        <w:t>2025年一般公共预算“三公”经费安排0万元，与2024年预算相比增加0.00万元，主要原因是本部门一般公共预算未安排“三公”经费支出。</w:t>
      </w:r>
    </w:p>
    <w:p w14:paraId="377621DC" w14:textId="77777777" w:rsidR="007D568F" w:rsidRDefault="002538A1">
      <w:pPr>
        <w:spacing w:line="560" w:lineRule="exact"/>
        <w:ind w:firstLine="600"/>
        <w:jc w:val="both"/>
        <w:rPr>
          <w:rFonts w:hint="eastAsia"/>
        </w:rPr>
      </w:pPr>
      <w:r>
        <w:rPr>
          <w:rFonts w:ascii="仿宋" w:eastAsia="仿宋" w:hAnsi="仿宋" w:cs="仿宋"/>
          <w:color w:val="000000"/>
          <w:sz w:val="30"/>
        </w:rPr>
        <w:t>具体情况：</w:t>
      </w:r>
    </w:p>
    <w:p w14:paraId="49FDD14F" w14:textId="77777777" w:rsidR="007D568F" w:rsidRDefault="002538A1">
      <w:pPr>
        <w:spacing w:line="560" w:lineRule="exact"/>
        <w:ind w:firstLine="600"/>
        <w:jc w:val="both"/>
        <w:rPr>
          <w:rFonts w:hint="eastAsia"/>
        </w:rPr>
      </w:pPr>
      <w:r>
        <w:rPr>
          <w:rFonts w:ascii="仿宋" w:eastAsia="仿宋" w:hAnsi="仿宋" w:cs="仿宋"/>
          <w:color w:val="000000"/>
          <w:sz w:val="30"/>
        </w:rPr>
        <w:t>一、2025年因公出国（境）费预算0万元，与2024年预算相比增加0.00万元，主要原因是本部门一般公共预算未安排因公出国（境）费预算。</w:t>
      </w:r>
    </w:p>
    <w:p w14:paraId="29539C1E" w14:textId="77777777" w:rsidR="007D568F" w:rsidRDefault="002538A1">
      <w:pPr>
        <w:spacing w:line="560" w:lineRule="exact"/>
        <w:ind w:firstLine="600"/>
        <w:jc w:val="both"/>
        <w:rPr>
          <w:rFonts w:hint="eastAsia"/>
        </w:rPr>
      </w:pPr>
      <w:r>
        <w:rPr>
          <w:rFonts w:ascii="仿宋" w:eastAsia="仿宋" w:hAnsi="仿宋" w:cs="仿宋"/>
          <w:color w:val="000000"/>
          <w:sz w:val="30"/>
        </w:rPr>
        <w:t>二、2025年公务用车购置及运行费预算0万元，</w:t>
      </w:r>
    </w:p>
    <w:p w14:paraId="0798EB44" w14:textId="77777777" w:rsidR="007D568F" w:rsidRDefault="002538A1">
      <w:pPr>
        <w:spacing w:line="560" w:lineRule="exact"/>
        <w:ind w:firstLine="600"/>
        <w:jc w:val="both"/>
        <w:rPr>
          <w:rFonts w:hint="eastAsia"/>
        </w:rPr>
      </w:pPr>
      <w:r>
        <w:rPr>
          <w:rFonts w:ascii="仿宋" w:eastAsia="仿宋" w:hAnsi="仿宋" w:cs="仿宋"/>
          <w:color w:val="000000"/>
          <w:sz w:val="30"/>
        </w:rPr>
        <w:t>其中公务用车运行费0万元，与2024年预算相比增加0万元，主要原因是本部门一般公共预算未安排公务用车运行费预算；公务用车购置费0万元，与2024年预算相比增加0万元，主要原因是本部门一般公共预算未安排公务用车购置费预算。</w:t>
      </w:r>
    </w:p>
    <w:p w14:paraId="1086444E" w14:textId="77777777" w:rsidR="007D568F" w:rsidRDefault="002538A1">
      <w:pPr>
        <w:spacing w:line="560" w:lineRule="exact"/>
        <w:ind w:firstLine="600"/>
        <w:jc w:val="both"/>
        <w:rPr>
          <w:rFonts w:hint="eastAsia"/>
        </w:rPr>
      </w:pPr>
      <w:r>
        <w:rPr>
          <w:rFonts w:ascii="仿宋" w:eastAsia="仿宋" w:hAnsi="仿宋" w:cs="仿宋"/>
          <w:color w:val="000000"/>
          <w:sz w:val="30"/>
        </w:rPr>
        <w:t>三、2025年公务接待费预算0万元，与2024年预算相比增加0万元，主要原因是本部门一般公共预算未安排公务接待费预算。</w:t>
      </w:r>
    </w:p>
    <w:p w14:paraId="09F72B72" w14:textId="77777777" w:rsidR="007D568F" w:rsidRDefault="002538A1">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6A4A7659" w14:textId="77777777" w:rsidR="007D568F" w:rsidRDefault="002538A1">
      <w:pPr>
        <w:spacing w:line="560" w:lineRule="exact"/>
        <w:ind w:firstLine="600"/>
        <w:jc w:val="both"/>
        <w:rPr>
          <w:rFonts w:hint="eastAsia"/>
        </w:rPr>
      </w:pPr>
      <w:r>
        <w:rPr>
          <w:rFonts w:ascii="仿宋" w:eastAsia="仿宋" w:hAnsi="仿宋" w:cs="仿宋"/>
          <w:color w:val="000000"/>
          <w:sz w:val="30"/>
        </w:rPr>
        <w:t>2025年天津市西青区人力资源和社会保障局部门预算中没有使用政府性基金预算安排的支出。</w:t>
      </w:r>
    </w:p>
    <w:p w14:paraId="45AB2E8A" w14:textId="77777777" w:rsidR="007D568F" w:rsidRDefault="002538A1">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5CB92B48" w14:textId="77777777" w:rsidR="0010782F" w:rsidRDefault="002538A1" w:rsidP="0010782F">
      <w:pPr>
        <w:spacing w:line="560" w:lineRule="exact"/>
        <w:ind w:firstLine="600"/>
        <w:jc w:val="both"/>
        <w:rPr>
          <w:rFonts w:hint="eastAsia"/>
        </w:rPr>
      </w:pPr>
      <w:r>
        <w:rPr>
          <w:rFonts w:ascii="仿宋" w:eastAsia="仿宋" w:hAnsi="仿宋" w:cs="仿宋"/>
          <w:color w:val="000000"/>
          <w:sz w:val="30"/>
        </w:rPr>
        <w:t>1、“国有资本经营预算支出（类）”5.20万元（上年7.05万元），与上年预算相比减少1.85万元，主要原因是2022</w:t>
      </w:r>
      <w:r>
        <w:rPr>
          <w:rFonts w:ascii="仿宋" w:eastAsia="仿宋" w:hAnsi="仿宋" w:cs="仿宋"/>
          <w:color w:val="000000"/>
          <w:sz w:val="30"/>
        </w:rPr>
        <w:lastRenderedPageBreak/>
        <w:t>年度以前结转的国有企业退休人员补助项目资金已使用完毕，其中：</w:t>
      </w:r>
    </w:p>
    <w:p w14:paraId="583FDA30" w14:textId="763EA7D2" w:rsidR="007D568F" w:rsidRDefault="002538A1" w:rsidP="0010782F">
      <w:pPr>
        <w:spacing w:line="560" w:lineRule="exact"/>
        <w:ind w:firstLine="600"/>
        <w:jc w:val="both"/>
        <w:rPr>
          <w:rFonts w:hint="eastAsia"/>
        </w:rPr>
      </w:pPr>
      <w:r>
        <w:rPr>
          <w:rFonts w:ascii="仿宋" w:eastAsia="仿宋" w:hAnsi="仿宋" w:cs="仿宋"/>
          <w:color w:val="000000"/>
          <w:sz w:val="30"/>
        </w:rPr>
        <w:t>“解决历史遗留问题及改革成本支出（款）”5.20万元，包括：“国有企业退休人员社会化管理补助支出（项）”5.20万元，主要用于支持国有企业退休人员实现社会化管理的支出。</w:t>
      </w:r>
    </w:p>
    <w:p w14:paraId="24A23A0E" w14:textId="77777777" w:rsidR="007D568F" w:rsidRDefault="002538A1">
      <w:pPr>
        <w:spacing w:line="560" w:lineRule="exact"/>
        <w:ind w:firstLine="600"/>
        <w:jc w:val="both"/>
        <w:rPr>
          <w:rFonts w:hint="eastAsia"/>
        </w:rPr>
      </w:pPr>
      <w:r>
        <w:rPr>
          <w:rFonts w:ascii="黑体" w:eastAsia="黑体" w:hAnsi="黑体" w:cs="黑体"/>
          <w:b/>
          <w:color w:val="000000"/>
          <w:sz w:val="30"/>
        </w:rPr>
        <w:t>十、其他重要事项的情况说明</w:t>
      </w:r>
    </w:p>
    <w:p w14:paraId="7E9A0406" w14:textId="77777777" w:rsidR="007D568F" w:rsidRDefault="002538A1">
      <w:pPr>
        <w:spacing w:line="560" w:lineRule="exact"/>
        <w:ind w:firstLine="600"/>
        <w:jc w:val="both"/>
        <w:rPr>
          <w:rFonts w:hint="eastAsia"/>
        </w:rPr>
      </w:pPr>
      <w:r>
        <w:rPr>
          <w:rFonts w:ascii="楷体" w:eastAsia="楷体" w:hAnsi="楷体" w:cs="楷体"/>
          <w:b/>
          <w:color w:val="000000"/>
          <w:sz w:val="30"/>
        </w:rPr>
        <w:t>（一）机关运行经费。</w:t>
      </w:r>
    </w:p>
    <w:p w14:paraId="75994B52" w14:textId="77777777" w:rsidR="007D568F" w:rsidRDefault="002538A1">
      <w:pPr>
        <w:spacing w:line="560" w:lineRule="exact"/>
        <w:ind w:firstLine="600"/>
        <w:jc w:val="both"/>
        <w:rPr>
          <w:rFonts w:hint="eastAsia"/>
        </w:rPr>
      </w:pPr>
      <w:r>
        <w:rPr>
          <w:rFonts w:ascii="仿宋" w:eastAsia="仿宋" w:hAnsi="仿宋" w:cs="仿宋"/>
          <w:color w:val="000000"/>
          <w:sz w:val="30"/>
        </w:rPr>
        <w:t>本部门2025年天津市西青区人力资源和社会保障局1家行政单位以及天津市西青区劳动人事争议仲裁院1家参公管理事业单位的机关运行经费预算254.75万元，包括办公费27.03万元、水费2.52万元、电费20.37万元、邮电费3.24万元、取暖费25.97万元、物业管理费65.21万元、差旅费4.42万元、维修(护)费4.44万元、培训费0.88万元、委托业务费2.40万元、工会经费15.85万元、福利费9.90万元、其他交通费用31.01万元、其他商品和服务支出34.83万元、办公设备购置6.68万元 。</w:t>
      </w:r>
    </w:p>
    <w:p w14:paraId="14EB6D6C" w14:textId="77777777" w:rsidR="007D568F" w:rsidRDefault="002538A1">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2025年安排政府采购预算157.53万元，其中：政府采购货物支出9.32万元、政府采购工程支出0万元、政府采购服务支出148.21万元。主要项目是：物业管理服务项目148.21万元，购买复印纸4.02万元，购买台式计算机2万元，购买便携式计算机1万元，购买打印机1.6万元，购买扫描仪0.4万元，购买文件柜0.3万元。</w:t>
      </w:r>
    </w:p>
    <w:p w14:paraId="26D1799D" w14:textId="77777777" w:rsidR="007D568F" w:rsidRDefault="002538A1">
      <w:pPr>
        <w:spacing w:line="560" w:lineRule="exact"/>
        <w:ind w:firstLine="600"/>
        <w:jc w:val="both"/>
        <w:rPr>
          <w:rFonts w:hint="eastAsia"/>
        </w:rPr>
      </w:pPr>
      <w:r>
        <w:rPr>
          <w:rFonts w:ascii="楷体" w:eastAsia="楷体" w:hAnsi="楷体" w:cs="楷体"/>
          <w:b/>
          <w:color w:val="000000"/>
          <w:sz w:val="30"/>
        </w:rPr>
        <w:t>（三）国有资产占用情况</w:t>
      </w:r>
    </w:p>
    <w:p w14:paraId="4D334A69" w14:textId="77777777" w:rsidR="007D568F" w:rsidRDefault="002538A1">
      <w:pPr>
        <w:spacing w:line="560" w:lineRule="exact"/>
        <w:ind w:firstLine="600"/>
        <w:jc w:val="both"/>
        <w:rPr>
          <w:rFonts w:hint="eastAsia"/>
        </w:rPr>
      </w:pPr>
      <w:r>
        <w:rPr>
          <w:rFonts w:ascii="仿宋" w:eastAsia="仿宋" w:hAnsi="仿宋" w:cs="仿宋"/>
          <w:color w:val="000000"/>
          <w:sz w:val="30"/>
        </w:rPr>
        <w:lastRenderedPageBreak/>
        <w:t>截至2024年12月底，本部门各单位共有车辆0辆、其中：副部（省）级及以上领导用车0辆、主要负责人干部用车0辆、机要通信用车0辆、应急保障用车0辆、执法执勤用车0辆、特种专业技术用车0辆、离退休干部用车0辆、其他用车0辆，其他用车主要包括0。单价（账面原值）100万以上的设备0台（套）。</w:t>
      </w:r>
    </w:p>
    <w:p w14:paraId="43BA77D5" w14:textId="77777777" w:rsidR="007D568F" w:rsidRDefault="002538A1">
      <w:pPr>
        <w:spacing w:line="560" w:lineRule="exact"/>
        <w:ind w:firstLine="600"/>
        <w:jc w:val="both"/>
        <w:rPr>
          <w:rFonts w:hint="eastAsia"/>
        </w:rPr>
      </w:pPr>
      <w:r>
        <w:rPr>
          <w:rFonts w:ascii="楷体" w:eastAsia="楷体" w:hAnsi="楷体" w:cs="楷体"/>
          <w:b/>
          <w:color w:val="000000"/>
          <w:sz w:val="30"/>
        </w:rPr>
        <w:t>（四）预算绩效情况说明。</w:t>
      </w:r>
    </w:p>
    <w:p w14:paraId="6394107A" w14:textId="77777777" w:rsidR="007D568F" w:rsidRDefault="002538A1">
      <w:pPr>
        <w:spacing w:line="560" w:lineRule="exact"/>
        <w:ind w:firstLine="600"/>
        <w:jc w:val="both"/>
        <w:rPr>
          <w:rFonts w:hint="eastAsia"/>
        </w:rPr>
      </w:pPr>
      <w:r>
        <w:rPr>
          <w:rFonts w:ascii="仿宋" w:eastAsia="仿宋" w:hAnsi="仿宋" w:cs="仿宋"/>
          <w:color w:val="000000"/>
          <w:sz w:val="30"/>
        </w:rPr>
        <w:t>天津市西青区人力资源和社会保障局部门2025年实行绩效目标管理的项目28个，涉及预算金额55,219.03万元。</w:t>
      </w:r>
    </w:p>
    <w:p w14:paraId="4248F9F4" w14:textId="77777777" w:rsidR="007D568F" w:rsidRDefault="002538A1">
      <w:pPr>
        <w:pageBreakBefore/>
        <w:spacing w:line="560" w:lineRule="exact"/>
        <w:jc w:val="center"/>
        <w:rPr>
          <w:rFonts w:hint="eastAsia"/>
        </w:rPr>
      </w:pPr>
      <w:r>
        <w:rPr>
          <w:rFonts w:ascii="黑体" w:eastAsia="黑体" w:hAnsi="黑体" w:cs="黑体"/>
          <w:b/>
          <w:color w:val="000000"/>
          <w:sz w:val="32"/>
        </w:rPr>
        <w:lastRenderedPageBreak/>
        <w:t>第三部分  名词解释</w:t>
      </w:r>
    </w:p>
    <w:p w14:paraId="04A9D31F" w14:textId="77777777" w:rsidR="007D568F" w:rsidRDefault="002538A1">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0214F8B3" w14:textId="77777777" w:rsidR="007D568F" w:rsidRDefault="002538A1">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7995937C" w14:textId="77777777" w:rsidR="007D568F" w:rsidRDefault="002538A1">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color w:val="000000"/>
          <w:sz w:val="28"/>
        </w:rPr>
        <w:t>指在基本支出之外为完成特定行政任务和事业发展目标所发生的支出。</w:t>
      </w:r>
    </w:p>
    <w:p w14:paraId="7A47FF8C" w14:textId="77777777" w:rsidR="007D568F" w:rsidRDefault="002538A1">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3723863C" w14:textId="77777777" w:rsidR="007D568F" w:rsidRDefault="002538A1">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   2025年部门预算表</w:t>
      </w:r>
    </w:p>
    <w:p w14:paraId="68E186AF" w14:textId="77777777" w:rsidR="007D568F" w:rsidRDefault="002538A1">
      <w:pPr>
        <w:spacing w:line="560" w:lineRule="exact"/>
        <w:jc w:val="both"/>
        <w:rPr>
          <w:rFonts w:hint="eastAsia"/>
        </w:rPr>
      </w:pPr>
      <w:r>
        <w:rPr>
          <w:rFonts w:ascii="楷体" w:eastAsia="楷体" w:hAnsi="楷体" w:cs="楷体"/>
          <w:b/>
          <w:color w:val="000000"/>
          <w:sz w:val="30"/>
        </w:rPr>
        <w:t>一、《部门收支总体情况表》</w:t>
      </w:r>
    </w:p>
    <w:p w14:paraId="2EF8CE14" w14:textId="77777777" w:rsidR="007D568F" w:rsidRDefault="002538A1">
      <w:pPr>
        <w:spacing w:line="560" w:lineRule="exact"/>
        <w:jc w:val="both"/>
        <w:rPr>
          <w:rFonts w:hint="eastAsia"/>
        </w:rPr>
      </w:pPr>
      <w:r>
        <w:rPr>
          <w:rFonts w:ascii="楷体" w:eastAsia="楷体" w:hAnsi="楷体" w:cs="楷体"/>
          <w:b/>
          <w:color w:val="000000"/>
          <w:sz w:val="30"/>
        </w:rPr>
        <w:t>二、《部门收入总体情况表》</w:t>
      </w:r>
    </w:p>
    <w:p w14:paraId="1A069B54" w14:textId="77777777" w:rsidR="007D568F" w:rsidRDefault="002538A1">
      <w:pPr>
        <w:spacing w:line="560" w:lineRule="exact"/>
        <w:jc w:val="both"/>
        <w:rPr>
          <w:rFonts w:hint="eastAsia"/>
        </w:rPr>
      </w:pPr>
      <w:r>
        <w:rPr>
          <w:rFonts w:ascii="楷体" w:eastAsia="楷体" w:hAnsi="楷体" w:cs="楷体"/>
          <w:b/>
          <w:color w:val="000000"/>
          <w:sz w:val="30"/>
        </w:rPr>
        <w:t>三、《部门支出总体情况表》</w:t>
      </w:r>
    </w:p>
    <w:p w14:paraId="0A8192A0" w14:textId="77777777" w:rsidR="007D568F" w:rsidRDefault="002538A1">
      <w:pPr>
        <w:spacing w:line="560" w:lineRule="exact"/>
        <w:jc w:val="both"/>
        <w:rPr>
          <w:rFonts w:hint="eastAsia"/>
        </w:rPr>
      </w:pPr>
      <w:r>
        <w:rPr>
          <w:rFonts w:ascii="楷体" w:eastAsia="楷体" w:hAnsi="楷体" w:cs="楷体"/>
          <w:b/>
          <w:color w:val="000000"/>
          <w:sz w:val="30"/>
        </w:rPr>
        <w:t>四、《财政拨款收支总体情况表》</w:t>
      </w:r>
    </w:p>
    <w:p w14:paraId="27E2C4F1" w14:textId="77777777" w:rsidR="007D568F" w:rsidRDefault="002538A1">
      <w:pPr>
        <w:spacing w:line="560" w:lineRule="exact"/>
        <w:jc w:val="both"/>
        <w:rPr>
          <w:rFonts w:hint="eastAsia"/>
        </w:rPr>
      </w:pPr>
      <w:r>
        <w:rPr>
          <w:rFonts w:ascii="楷体" w:eastAsia="楷体" w:hAnsi="楷体" w:cs="楷体"/>
          <w:b/>
          <w:color w:val="000000"/>
          <w:sz w:val="30"/>
        </w:rPr>
        <w:t>五、《一般公共预算支出情况表》</w:t>
      </w:r>
    </w:p>
    <w:p w14:paraId="41AA0999" w14:textId="77777777" w:rsidR="007D568F" w:rsidRDefault="002538A1">
      <w:pPr>
        <w:spacing w:line="560" w:lineRule="exact"/>
        <w:jc w:val="both"/>
        <w:rPr>
          <w:rFonts w:hint="eastAsia"/>
        </w:rPr>
      </w:pPr>
      <w:r>
        <w:rPr>
          <w:rFonts w:ascii="楷体" w:eastAsia="楷体" w:hAnsi="楷体" w:cs="楷体"/>
          <w:b/>
          <w:color w:val="000000"/>
          <w:sz w:val="30"/>
        </w:rPr>
        <w:t>六、《一般公共预算基本支出情况表》</w:t>
      </w:r>
    </w:p>
    <w:p w14:paraId="333F0754" w14:textId="77777777" w:rsidR="007D568F" w:rsidRDefault="002538A1">
      <w:pPr>
        <w:spacing w:line="560" w:lineRule="exact"/>
        <w:jc w:val="both"/>
        <w:rPr>
          <w:rFonts w:hint="eastAsia"/>
        </w:rPr>
      </w:pPr>
      <w:r>
        <w:rPr>
          <w:rFonts w:ascii="楷体" w:eastAsia="楷体" w:hAnsi="楷体" w:cs="楷体"/>
          <w:b/>
          <w:color w:val="000000"/>
          <w:sz w:val="30"/>
        </w:rPr>
        <w:t>七、《一般公共预算“三公”经费支出情况表》</w:t>
      </w:r>
    </w:p>
    <w:p w14:paraId="1408E5B4" w14:textId="77777777" w:rsidR="007D568F" w:rsidRDefault="002538A1">
      <w:pPr>
        <w:spacing w:line="560" w:lineRule="exact"/>
        <w:jc w:val="both"/>
        <w:rPr>
          <w:rFonts w:hint="eastAsia"/>
        </w:rPr>
      </w:pPr>
      <w:r>
        <w:rPr>
          <w:rFonts w:ascii="楷体" w:eastAsia="楷体" w:hAnsi="楷体" w:cs="楷体"/>
          <w:b/>
          <w:color w:val="000000"/>
          <w:sz w:val="30"/>
        </w:rPr>
        <w:t>八、《政府性基金预算支出情况表》</w:t>
      </w:r>
    </w:p>
    <w:p w14:paraId="3460E91B" w14:textId="77777777" w:rsidR="007D568F" w:rsidRDefault="002538A1">
      <w:pPr>
        <w:spacing w:line="560" w:lineRule="exact"/>
        <w:jc w:val="both"/>
        <w:rPr>
          <w:rFonts w:hint="eastAsia"/>
        </w:rPr>
      </w:pPr>
      <w:r>
        <w:rPr>
          <w:rFonts w:ascii="楷体" w:eastAsia="楷体" w:hAnsi="楷体" w:cs="楷体"/>
          <w:b/>
          <w:color w:val="000000"/>
          <w:sz w:val="30"/>
        </w:rPr>
        <w:t>九、《国有资本经营预算支出情况表》</w:t>
      </w:r>
    </w:p>
    <w:p w14:paraId="04DB8BED" w14:textId="77777777" w:rsidR="007D568F" w:rsidRDefault="002538A1">
      <w:pPr>
        <w:spacing w:line="560" w:lineRule="exact"/>
        <w:jc w:val="both"/>
        <w:rPr>
          <w:rFonts w:hint="eastAsia"/>
        </w:rPr>
      </w:pPr>
      <w:r>
        <w:rPr>
          <w:rFonts w:ascii="楷体" w:eastAsia="楷体" w:hAnsi="楷体" w:cs="楷体"/>
          <w:b/>
          <w:color w:val="000000"/>
          <w:sz w:val="30"/>
        </w:rPr>
        <w:t>十、《项目支出表》</w:t>
      </w:r>
    </w:p>
    <w:p w14:paraId="7593B1C6" w14:textId="77777777" w:rsidR="007D568F" w:rsidRDefault="002538A1">
      <w:pPr>
        <w:spacing w:line="560" w:lineRule="exact"/>
        <w:jc w:val="both"/>
        <w:rPr>
          <w:rFonts w:hint="eastAsia"/>
        </w:rPr>
      </w:pPr>
      <w:r>
        <w:rPr>
          <w:rFonts w:ascii="楷体" w:eastAsia="楷体" w:hAnsi="楷体" w:cs="楷体"/>
          <w:b/>
          <w:color w:val="000000"/>
          <w:sz w:val="30"/>
        </w:rPr>
        <w:t>十一、关于空表说明</w:t>
      </w:r>
    </w:p>
    <w:p w14:paraId="3E17FF5A" w14:textId="77777777" w:rsidR="007D568F" w:rsidRDefault="002538A1">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39ABF471" w14:textId="77777777" w:rsidR="007D568F" w:rsidRDefault="002538A1">
      <w:pPr>
        <w:spacing w:line="560" w:lineRule="exact"/>
        <w:ind w:firstLine="600"/>
        <w:jc w:val="both"/>
        <w:rPr>
          <w:rFonts w:hint="eastAsia"/>
        </w:rPr>
      </w:pPr>
      <w:r>
        <w:rPr>
          <w:rFonts w:ascii="仿宋" w:eastAsia="仿宋" w:hAnsi="仿宋" w:cs="仿宋"/>
          <w:color w:val="000000"/>
          <w:sz w:val="30"/>
        </w:rPr>
        <w:t>本部门2025年一般公共预算“三公”经费支出情况表为空表</w:t>
      </w:r>
    </w:p>
    <w:p w14:paraId="14CD573D" w14:textId="77777777" w:rsidR="007D568F" w:rsidRDefault="002538A1">
      <w:pPr>
        <w:spacing w:line="560" w:lineRule="exact"/>
        <w:ind w:firstLine="600"/>
        <w:jc w:val="both"/>
        <w:rPr>
          <w:rFonts w:hint="eastAsia"/>
        </w:rPr>
      </w:pPr>
      <w:r>
        <w:rPr>
          <w:rFonts w:ascii="仿宋" w:eastAsia="仿宋" w:hAnsi="仿宋" w:cs="仿宋"/>
          <w:color w:val="000000"/>
          <w:sz w:val="30"/>
        </w:rPr>
        <w:t>本部门2025年政府性基金预算支出情况表为空表</w:t>
      </w:r>
    </w:p>
    <w:sectPr w:rsidR="007D56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E1FFD"/>
    <w:multiLevelType w:val="hybridMultilevel"/>
    <w:tmpl w:val="AA0629DA"/>
    <w:lvl w:ilvl="0" w:tplc="8480BEA0">
      <w:start w:val="1"/>
      <w:numFmt w:val="decimal"/>
      <w:lvlText w:val="%1."/>
      <w:lvlJc w:val="left"/>
      <w:pPr>
        <w:ind w:left="960" w:hanging="360"/>
      </w:pPr>
      <w:rPr>
        <w:rFonts w:hint="default"/>
      </w:rPr>
    </w:lvl>
    <w:lvl w:ilvl="1" w:tplc="04090019" w:tentative="1">
      <w:start w:val="1"/>
      <w:numFmt w:val="lowerLetter"/>
      <w:lvlText w:val="%2)"/>
      <w:lvlJc w:val="left"/>
      <w:pPr>
        <w:ind w:left="1480" w:hanging="440"/>
      </w:pPr>
    </w:lvl>
    <w:lvl w:ilvl="2" w:tplc="0409001B" w:tentative="1">
      <w:start w:val="1"/>
      <w:numFmt w:val="lowerRoman"/>
      <w:lvlText w:val="%3."/>
      <w:lvlJc w:val="right"/>
      <w:pPr>
        <w:ind w:left="1920" w:hanging="440"/>
      </w:pPr>
    </w:lvl>
    <w:lvl w:ilvl="3" w:tplc="0409000F" w:tentative="1">
      <w:start w:val="1"/>
      <w:numFmt w:val="decimal"/>
      <w:lvlText w:val="%4."/>
      <w:lvlJc w:val="left"/>
      <w:pPr>
        <w:ind w:left="2360" w:hanging="440"/>
      </w:pPr>
    </w:lvl>
    <w:lvl w:ilvl="4" w:tplc="04090019" w:tentative="1">
      <w:start w:val="1"/>
      <w:numFmt w:val="lowerLetter"/>
      <w:lvlText w:val="%5)"/>
      <w:lvlJc w:val="left"/>
      <w:pPr>
        <w:ind w:left="2800" w:hanging="440"/>
      </w:pPr>
    </w:lvl>
    <w:lvl w:ilvl="5" w:tplc="0409001B" w:tentative="1">
      <w:start w:val="1"/>
      <w:numFmt w:val="lowerRoman"/>
      <w:lvlText w:val="%6."/>
      <w:lvlJc w:val="right"/>
      <w:pPr>
        <w:ind w:left="3240" w:hanging="440"/>
      </w:pPr>
    </w:lvl>
    <w:lvl w:ilvl="6" w:tplc="0409000F" w:tentative="1">
      <w:start w:val="1"/>
      <w:numFmt w:val="decimal"/>
      <w:lvlText w:val="%7."/>
      <w:lvlJc w:val="left"/>
      <w:pPr>
        <w:ind w:left="3680" w:hanging="440"/>
      </w:pPr>
    </w:lvl>
    <w:lvl w:ilvl="7" w:tplc="04090019" w:tentative="1">
      <w:start w:val="1"/>
      <w:numFmt w:val="lowerLetter"/>
      <w:lvlText w:val="%8)"/>
      <w:lvlJc w:val="left"/>
      <w:pPr>
        <w:ind w:left="4120" w:hanging="440"/>
      </w:pPr>
    </w:lvl>
    <w:lvl w:ilvl="8" w:tplc="0409001B" w:tentative="1">
      <w:start w:val="1"/>
      <w:numFmt w:val="lowerRoman"/>
      <w:lvlText w:val="%9."/>
      <w:lvlJc w:val="right"/>
      <w:pPr>
        <w:ind w:left="4560" w:hanging="440"/>
      </w:pPr>
    </w:lvl>
  </w:abstractNum>
  <w:num w:numId="1" w16cid:durableId="1292635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D568F"/>
    <w:rsid w:val="000F3478"/>
    <w:rsid w:val="0010782F"/>
    <w:rsid w:val="001677F8"/>
    <w:rsid w:val="002538A1"/>
    <w:rsid w:val="007D568F"/>
    <w:rsid w:val="00C30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F173"/>
  <w15:docId w15:val="{747B5EAB-C55F-4069-A83F-78B884D3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78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1072</Words>
  <Characters>6111</Characters>
  <Application>Microsoft Office Word</Application>
  <DocSecurity>0</DocSecurity>
  <Lines>50</Lines>
  <Paragraphs>14</Paragraphs>
  <ScaleCrop>false</ScaleCrop>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4</cp:revision>
  <dcterms:created xsi:type="dcterms:W3CDTF">2025-03-18T02:37:00Z</dcterms:created>
  <dcterms:modified xsi:type="dcterms:W3CDTF">2025-03-26T02:54:00Z</dcterms:modified>
</cp:coreProperties>
</file>