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DE39" w14:textId="77777777" w:rsidR="00A16DFA" w:rsidRDefault="007E7B1D">
      <w:pPr>
        <w:spacing w:line="2600" w:lineRule="exact"/>
        <w:jc w:val="center"/>
      </w:pPr>
      <w:r>
        <w:rPr>
          <w:rFonts w:ascii="FZXiaoBiaoSong-B05S" w:eastAsia="FZXiaoBiaoSong-B05S" w:hAnsi="FZXiaoBiaoSong-B05S" w:cs="FZXiaoBiaoSong-B05S"/>
          <w:b/>
          <w:color w:val="000000"/>
          <w:sz w:val="48"/>
        </w:rPr>
        <w:t>天津市西青区科学技术局</w:t>
      </w:r>
      <w:r>
        <w:rPr>
          <w:rFonts w:ascii="FZXiaoBiaoSong-B05S" w:eastAsia="FZXiaoBiaoSong-B05S" w:hAnsi="FZXiaoBiaoSong-B05S" w:cs="FZXiaoBiaoSong-B05S"/>
          <w:b/>
          <w:color w:val="000000"/>
          <w:sz w:val="48"/>
        </w:rPr>
        <w:br/>
        <w:t>2025年度单位预算公开</w:t>
      </w:r>
    </w:p>
    <w:p w14:paraId="0EEDFF4F" w14:textId="77777777" w:rsidR="00A16DFA" w:rsidRDefault="007E7B1D">
      <w:pPr>
        <w:pageBreakBefore/>
        <w:spacing w:line="560" w:lineRule="exact"/>
        <w:jc w:val="center"/>
      </w:pPr>
      <w:r>
        <w:rPr>
          <w:rFonts w:ascii="黑体" w:eastAsia="黑体" w:hAnsi="黑体" w:cs="黑体"/>
          <w:b/>
          <w:color w:val="000000"/>
          <w:sz w:val="44"/>
        </w:rPr>
        <w:lastRenderedPageBreak/>
        <w:t>目    录</w:t>
      </w:r>
    </w:p>
    <w:p w14:paraId="5B6841EE" w14:textId="77777777" w:rsidR="00A16DFA" w:rsidRDefault="007E7B1D">
      <w:pPr>
        <w:spacing w:line="560" w:lineRule="exact"/>
        <w:ind w:firstLine="900"/>
      </w:pPr>
      <w:r>
        <w:rPr>
          <w:rFonts w:ascii="仿宋" w:eastAsia="仿宋" w:hAnsi="仿宋" w:cs="仿宋"/>
          <w:b/>
          <w:color w:val="000000"/>
          <w:sz w:val="30"/>
        </w:rPr>
        <w:t>第一部分  概况</w:t>
      </w:r>
    </w:p>
    <w:p w14:paraId="49B62532" w14:textId="77777777" w:rsidR="00A16DFA" w:rsidRDefault="007E7B1D">
      <w:pPr>
        <w:spacing w:line="560" w:lineRule="exact"/>
        <w:ind w:firstLine="900"/>
      </w:pPr>
      <w:r>
        <w:rPr>
          <w:rFonts w:ascii="仿宋" w:eastAsia="仿宋" w:hAnsi="仿宋" w:cs="仿宋"/>
          <w:color w:val="000000"/>
          <w:sz w:val="30"/>
        </w:rPr>
        <w:t>一、主要职责</w:t>
      </w:r>
    </w:p>
    <w:p w14:paraId="6BBDD1EB" w14:textId="77777777" w:rsidR="00A16DFA" w:rsidRDefault="007E7B1D">
      <w:pPr>
        <w:spacing w:line="560" w:lineRule="exact"/>
        <w:ind w:firstLine="900"/>
      </w:pPr>
      <w:r>
        <w:rPr>
          <w:rFonts w:ascii="仿宋" w:eastAsia="仿宋" w:hAnsi="仿宋" w:cs="仿宋"/>
          <w:color w:val="000000"/>
          <w:sz w:val="30"/>
        </w:rPr>
        <w:t>二、机构设置情况</w:t>
      </w:r>
    </w:p>
    <w:p w14:paraId="6C2B0DA5" w14:textId="77777777" w:rsidR="00A16DFA" w:rsidRDefault="007E7B1D">
      <w:pPr>
        <w:spacing w:line="560" w:lineRule="exact"/>
        <w:ind w:firstLine="900"/>
      </w:pPr>
      <w:r>
        <w:rPr>
          <w:rFonts w:ascii="仿宋" w:eastAsia="仿宋" w:hAnsi="仿宋" w:cs="仿宋"/>
          <w:b/>
          <w:color w:val="000000"/>
          <w:sz w:val="30"/>
        </w:rPr>
        <w:t>第二部分  2025年单位情况说明</w:t>
      </w:r>
    </w:p>
    <w:p w14:paraId="4AB754B9" w14:textId="77777777" w:rsidR="00A16DFA" w:rsidRDefault="007E7B1D">
      <w:pPr>
        <w:spacing w:line="560" w:lineRule="exact"/>
        <w:ind w:firstLine="900"/>
      </w:pPr>
      <w:r>
        <w:rPr>
          <w:rFonts w:ascii="仿宋" w:eastAsia="仿宋" w:hAnsi="仿宋" w:cs="仿宋"/>
          <w:color w:val="000000"/>
          <w:sz w:val="30"/>
        </w:rPr>
        <w:t>一、关于收支总体情况表的说明</w:t>
      </w:r>
    </w:p>
    <w:p w14:paraId="763A18B1" w14:textId="77777777" w:rsidR="00A16DFA" w:rsidRDefault="007E7B1D">
      <w:pPr>
        <w:spacing w:line="560" w:lineRule="exact"/>
        <w:ind w:firstLine="900"/>
      </w:pPr>
      <w:r>
        <w:rPr>
          <w:rFonts w:ascii="仿宋" w:eastAsia="仿宋" w:hAnsi="仿宋" w:cs="仿宋"/>
          <w:color w:val="000000"/>
          <w:sz w:val="30"/>
        </w:rPr>
        <w:t>二、关于收入总体情况表的说明</w:t>
      </w:r>
    </w:p>
    <w:p w14:paraId="2DD23630" w14:textId="77777777" w:rsidR="00A16DFA" w:rsidRDefault="007E7B1D">
      <w:pPr>
        <w:spacing w:line="560" w:lineRule="exact"/>
        <w:ind w:firstLine="900"/>
      </w:pPr>
      <w:r>
        <w:rPr>
          <w:rFonts w:ascii="仿宋" w:eastAsia="仿宋" w:hAnsi="仿宋" w:cs="仿宋"/>
          <w:color w:val="000000"/>
          <w:sz w:val="30"/>
        </w:rPr>
        <w:t>三、关于支出总体情况表的说明</w:t>
      </w:r>
    </w:p>
    <w:p w14:paraId="74759AE3" w14:textId="77777777" w:rsidR="00A16DFA" w:rsidRDefault="007E7B1D">
      <w:pPr>
        <w:spacing w:line="560" w:lineRule="exact"/>
        <w:ind w:firstLine="900"/>
      </w:pPr>
      <w:r>
        <w:rPr>
          <w:rFonts w:ascii="仿宋" w:eastAsia="仿宋" w:hAnsi="仿宋" w:cs="仿宋"/>
          <w:color w:val="000000"/>
          <w:sz w:val="30"/>
        </w:rPr>
        <w:t>四、关于财政拨款收支总体情况表的说明</w:t>
      </w:r>
    </w:p>
    <w:p w14:paraId="5EC3F34B" w14:textId="77777777" w:rsidR="00A16DFA" w:rsidRDefault="007E7B1D">
      <w:pPr>
        <w:spacing w:line="560" w:lineRule="exact"/>
        <w:ind w:firstLine="900"/>
      </w:pPr>
      <w:r>
        <w:rPr>
          <w:rFonts w:ascii="仿宋" w:eastAsia="仿宋" w:hAnsi="仿宋" w:cs="仿宋"/>
          <w:color w:val="000000"/>
          <w:sz w:val="30"/>
        </w:rPr>
        <w:t>五、关于一般公共预算支出情况表的说明</w:t>
      </w:r>
    </w:p>
    <w:p w14:paraId="1E5975C4" w14:textId="77777777" w:rsidR="00A16DFA" w:rsidRDefault="007E7B1D">
      <w:pPr>
        <w:spacing w:line="560" w:lineRule="exact"/>
        <w:ind w:firstLine="900"/>
      </w:pPr>
      <w:r>
        <w:rPr>
          <w:rFonts w:ascii="仿宋" w:eastAsia="仿宋" w:hAnsi="仿宋" w:cs="仿宋"/>
          <w:color w:val="000000"/>
          <w:sz w:val="30"/>
        </w:rPr>
        <w:t>六、关于一般公共预算基本支出情况表的说明</w:t>
      </w:r>
    </w:p>
    <w:p w14:paraId="69079ACB" w14:textId="77777777" w:rsidR="00A16DFA" w:rsidRDefault="007E7B1D">
      <w:pPr>
        <w:spacing w:line="560" w:lineRule="exact"/>
        <w:ind w:firstLine="900"/>
      </w:pPr>
      <w:r>
        <w:rPr>
          <w:rFonts w:ascii="仿宋" w:eastAsia="仿宋" w:hAnsi="仿宋" w:cs="仿宋"/>
          <w:color w:val="000000"/>
          <w:sz w:val="30"/>
        </w:rPr>
        <w:t>七、关于一般公共预算“三公”经费支出情况表的说明</w:t>
      </w:r>
    </w:p>
    <w:p w14:paraId="63CA5F98" w14:textId="77777777" w:rsidR="00A16DFA" w:rsidRDefault="007E7B1D">
      <w:pPr>
        <w:spacing w:line="560" w:lineRule="exact"/>
        <w:ind w:firstLine="900"/>
      </w:pPr>
      <w:r>
        <w:rPr>
          <w:rFonts w:ascii="仿宋" w:eastAsia="仿宋" w:hAnsi="仿宋" w:cs="仿宋"/>
          <w:color w:val="000000"/>
          <w:sz w:val="30"/>
        </w:rPr>
        <w:t>八、关于政府性基金预算支出情况表的说明</w:t>
      </w:r>
    </w:p>
    <w:p w14:paraId="65C2421A" w14:textId="77777777" w:rsidR="00A16DFA" w:rsidRDefault="007E7B1D">
      <w:pPr>
        <w:spacing w:line="560" w:lineRule="exact"/>
        <w:ind w:firstLine="900"/>
      </w:pPr>
      <w:r>
        <w:rPr>
          <w:rFonts w:ascii="仿宋" w:eastAsia="仿宋" w:hAnsi="仿宋" w:cs="仿宋"/>
          <w:color w:val="000000"/>
          <w:sz w:val="30"/>
        </w:rPr>
        <w:t>九、关于国有资本经营预算支出情况表的说明</w:t>
      </w:r>
    </w:p>
    <w:p w14:paraId="686ED142" w14:textId="77777777" w:rsidR="00A16DFA" w:rsidRDefault="007E7B1D">
      <w:pPr>
        <w:spacing w:line="560" w:lineRule="exact"/>
        <w:ind w:firstLine="900"/>
      </w:pPr>
      <w:r>
        <w:rPr>
          <w:rFonts w:ascii="仿宋" w:eastAsia="仿宋" w:hAnsi="仿宋" w:cs="仿宋"/>
          <w:color w:val="000000"/>
          <w:sz w:val="30"/>
        </w:rPr>
        <w:t>十、其他重要事项的情况说明</w:t>
      </w:r>
    </w:p>
    <w:p w14:paraId="7E5ECDCE" w14:textId="77777777" w:rsidR="00A16DFA" w:rsidRDefault="007E7B1D">
      <w:pPr>
        <w:spacing w:line="560" w:lineRule="exact"/>
        <w:ind w:firstLine="900"/>
      </w:pPr>
      <w:r>
        <w:rPr>
          <w:rFonts w:ascii="仿宋" w:eastAsia="仿宋" w:hAnsi="仿宋" w:cs="仿宋"/>
          <w:b/>
          <w:color w:val="000000"/>
          <w:sz w:val="30"/>
        </w:rPr>
        <w:t>第三部分  名词解释</w:t>
      </w:r>
    </w:p>
    <w:p w14:paraId="160A4935" w14:textId="77777777" w:rsidR="00A16DFA" w:rsidRDefault="007E7B1D">
      <w:pPr>
        <w:spacing w:line="560" w:lineRule="exact"/>
        <w:ind w:firstLine="900"/>
      </w:pPr>
      <w:r>
        <w:rPr>
          <w:rFonts w:ascii="仿宋" w:eastAsia="仿宋" w:hAnsi="仿宋" w:cs="仿宋"/>
          <w:b/>
          <w:color w:val="000000"/>
          <w:sz w:val="30"/>
        </w:rPr>
        <w:t>第四部分  2025年单位预算表</w:t>
      </w:r>
    </w:p>
    <w:p w14:paraId="23A722FD" w14:textId="77777777" w:rsidR="00A16DFA" w:rsidRDefault="007E7B1D">
      <w:pPr>
        <w:spacing w:line="560" w:lineRule="exact"/>
        <w:ind w:firstLine="900"/>
      </w:pPr>
      <w:r>
        <w:rPr>
          <w:rFonts w:ascii="仿宋" w:eastAsia="仿宋" w:hAnsi="仿宋" w:cs="仿宋"/>
          <w:color w:val="000000"/>
          <w:sz w:val="30"/>
        </w:rPr>
        <w:t>一、部门收支总体情况表</w:t>
      </w:r>
    </w:p>
    <w:p w14:paraId="5DF6083E" w14:textId="77777777" w:rsidR="00A16DFA" w:rsidRDefault="007E7B1D">
      <w:pPr>
        <w:spacing w:line="560" w:lineRule="exact"/>
        <w:ind w:firstLine="900"/>
      </w:pPr>
      <w:r>
        <w:rPr>
          <w:rFonts w:ascii="仿宋" w:eastAsia="仿宋" w:hAnsi="仿宋" w:cs="仿宋"/>
          <w:color w:val="000000"/>
          <w:sz w:val="30"/>
        </w:rPr>
        <w:t>二、部门收入总体情况表</w:t>
      </w:r>
    </w:p>
    <w:p w14:paraId="42A7258A" w14:textId="77777777" w:rsidR="00A16DFA" w:rsidRDefault="007E7B1D">
      <w:pPr>
        <w:spacing w:line="560" w:lineRule="exact"/>
        <w:ind w:firstLine="900"/>
      </w:pPr>
      <w:r>
        <w:rPr>
          <w:rFonts w:ascii="仿宋" w:eastAsia="仿宋" w:hAnsi="仿宋" w:cs="仿宋"/>
          <w:color w:val="000000"/>
          <w:sz w:val="30"/>
        </w:rPr>
        <w:t>三、部门支出总体情况表</w:t>
      </w:r>
    </w:p>
    <w:p w14:paraId="2157F201" w14:textId="77777777" w:rsidR="00A16DFA" w:rsidRDefault="007E7B1D">
      <w:pPr>
        <w:spacing w:line="560" w:lineRule="exact"/>
        <w:ind w:firstLine="900"/>
      </w:pPr>
      <w:r>
        <w:rPr>
          <w:rFonts w:ascii="仿宋" w:eastAsia="仿宋" w:hAnsi="仿宋" w:cs="仿宋"/>
          <w:color w:val="000000"/>
          <w:sz w:val="30"/>
        </w:rPr>
        <w:t>四、财政拨款收支总体情况表</w:t>
      </w:r>
    </w:p>
    <w:p w14:paraId="45EBE628" w14:textId="77777777" w:rsidR="00A16DFA" w:rsidRDefault="007E7B1D">
      <w:pPr>
        <w:spacing w:line="560" w:lineRule="exact"/>
        <w:ind w:firstLine="900"/>
      </w:pPr>
      <w:r>
        <w:rPr>
          <w:rFonts w:ascii="仿宋" w:eastAsia="仿宋" w:hAnsi="仿宋" w:cs="仿宋"/>
          <w:color w:val="000000"/>
          <w:sz w:val="30"/>
        </w:rPr>
        <w:t>五、一般公共预算支出情况表</w:t>
      </w:r>
    </w:p>
    <w:p w14:paraId="05E9658D" w14:textId="77777777" w:rsidR="00A16DFA" w:rsidRDefault="007E7B1D">
      <w:pPr>
        <w:spacing w:line="560" w:lineRule="exact"/>
        <w:ind w:firstLine="900"/>
      </w:pPr>
      <w:r>
        <w:rPr>
          <w:rFonts w:ascii="仿宋" w:eastAsia="仿宋" w:hAnsi="仿宋" w:cs="仿宋"/>
          <w:color w:val="000000"/>
          <w:sz w:val="30"/>
        </w:rPr>
        <w:t>六、一般公共预算基本支出情况表</w:t>
      </w:r>
    </w:p>
    <w:p w14:paraId="65E97D9B" w14:textId="77777777" w:rsidR="00A16DFA" w:rsidRDefault="007E7B1D">
      <w:pPr>
        <w:spacing w:line="560" w:lineRule="exact"/>
        <w:ind w:firstLine="900"/>
      </w:pPr>
      <w:r>
        <w:rPr>
          <w:rFonts w:ascii="仿宋" w:eastAsia="仿宋" w:hAnsi="仿宋" w:cs="仿宋"/>
          <w:color w:val="000000"/>
          <w:sz w:val="30"/>
        </w:rPr>
        <w:t>七、一般公共预算“三公”经费支出情况表</w:t>
      </w:r>
    </w:p>
    <w:p w14:paraId="498483AB" w14:textId="77777777" w:rsidR="00A16DFA" w:rsidRDefault="007E7B1D">
      <w:pPr>
        <w:spacing w:line="560" w:lineRule="exact"/>
        <w:ind w:firstLine="900"/>
      </w:pPr>
      <w:r>
        <w:rPr>
          <w:rFonts w:ascii="仿宋" w:eastAsia="仿宋" w:hAnsi="仿宋" w:cs="仿宋"/>
          <w:color w:val="000000"/>
          <w:sz w:val="30"/>
        </w:rPr>
        <w:lastRenderedPageBreak/>
        <w:t>八、政府性基金预算支出情况表</w:t>
      </w:r>
    </w:p>
    <w:p w14:paraId="7BBC0139" w14:textId="77777777" w:rsidR="00A16DFA" w:rsidRDefault="007E7B1D">
      <w:pPr>
        <w:spacing w:line="560" w:lineRule="exact"/>
        <w:ind w:firstLine="900"/>
      </w:pPr>
      <w:r>
        <w:rPr>
          <w:rFonts w:ascii="仿宋" w:eastAsia="仿宋" w:hAnsi="仿宋" w:cs="仿宋"/>
          <w:color w:val="000000"/>
          <w:sz w:val="30"/>
        </w:rPr>
        <w:t>九、国有资本经营预算支出情况表</w:t>
      </w:r>
    </w:p>
    <w:p w14:paraId="7687DA32" w14:textId="77777777" w:rsidR="00A16DFA" w:rsidRDefault="007E7B1D">
      <w:pPr>
        <w:spacing w:line="560" w:lineRule="exact"/>
        <w:ind w:firstLine="900"/>
      </w:pPr>
      <w:r>
        <w:rPr>
          <w:rFonts w:ascii="仿宋" w:eastAsia="仿宋" w:hAnsi="仿宋" w:cs="仿宋"/>
          <w:color w:val="000000"/>
          <w:sz w:val="30"/>
        </w:rPr>
        <w:t>十、项目支出表</w:t>
      </w:r>
    </w:p>
    <w:p w14:paraId="54CA9EFB" w14:textId="77777777" w:rsidR="00A16DFA" w:rsidRDefault="007E7B1D">
      <w:pPr>
        <w:spacing w:line="560" w:lineRule="exact"/>
        <w:ind w:firstLine="900"/>
      </w:pPr>
      <w:r>
        <w:rPr>
          <w:rFonts w:ascii="仿宋" w:eastAsia="仿宋" w:hAnsi="仿宋" w:cs="仿宋"/>
          <w:color w:val="000000"/>
          <w:sz w:val="30"/>
        </w:rPr>
        <w:t>十一、关于空表的说明</w:t>
      </w:r>
    </w:p>
    <w:p w14:paraId="7C41F5E5" w14:textId="77777777" w:rsidR="00A16DFA" w:rsidRDefault="007E7B1D">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09997764" w14:textId="77777777" w:rsidR="00BD77B3" w:rsidRDefault="007E7B1D" w:rsidP="00BD77B3">
      <w:pPr>
        <w:spacing w:line="560" w:lineRule="exact"/>
        <w:ind w:firstLine="600"/>
      </w:pPr>
      <w:r>
        <w:rPr>
          <w:rFonts w:ascii="黑体" w:eastAsia="黑体" w:hAnsi="黑体" w:cs="黑体"/>
          <w:b/>
          <w:color w:val="353232"/>
          <w:sz w:val="30"/>
        </w:rPr>
        <w:t>一、主要职责</w:t>
      </w:r>
    </w:p>
    <w:p w14:paraId="0B9246C6" w14:textId="77777777" w:rsidR="00BD77B3" w:rsidRDefault="007E7B1D" w:rsidP="00BD77B3">
      <w:pPr>
        <w:spacing w:line="560" w:lineRule="exact"/>
        <w:ind w:firstLine="600"/>
      </w:pPr>
      <w:r>
        <w:rPr>
          <w:rFonts w:ascii="仿宋" w:eastAsia="仿宋" w:hAnsi="仿宋" w:cs="仿宋"/>
          <w:color w:val="000000"/>
          <w:sz w:val="30"/>
        </w:rPr>
        <w:t>（1）贯彻执行国家、市关于科技创新工作的法律、法规，研究起草区有关科技政策文件等，并组织实施。</w:t>
      </w:r>
    </w:p>
    <w:p w14:paraId="12A5F133"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（2）坚持创新驱动发展战略方针，拟订区科技发展规划和政策并组织实施，推动落实市科技局拟定的引进国外智力规划。研究确定全区科技发展布局和优先发展领域，支撑现代化经济体系建设。</w:t>
      </w:r>
    </w:p>
    <w:p w14:paraId="695CDE2A"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3）统筹推进全区创新体系建设和科技体制改革，会同有关部门健全技术创新激励机制。优化科研体系建设，负责指导企业和社会力量建立建设各类科技研发机构、服务机构和创新载体，推动企业科技创新能力建设。承担推进科技军民融合发展相关工作。负责国防科技信息动员工作。推进重大科技决策咨询制度建设。</w:t>
      </w:r>
    </w:p>
    <w:p w14:paraId="31E4F71C"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4）会同有关部门提出优化配置科技资源的政策措施建议。推动多元化科技投入体系建设，负责相关科技经费预决算及使用的监督管理，协调管理区级科技计划（专项）并监督实施。推动科技型企业发展。会同有关部门推进科技金融投融资体系建设，推动科技型企业融资工作。</w:t>
      </w:r>
    </w:p>
    <w:p w14:paraId="55B616D2"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（5）组织落实国家、市关于基础研究规划、政策和标准。组织协调基础研究和应用基础研究。推动科研保障建设和科技资源共享。</w:t>
      </w:r>
    </w:p>
    <w:p w14:paraId="6CF16435"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（6）实施重大科技项目，统筹关键共性技术、前沿引领技术、现代工程技术、颠覆性技术研发和创新，牵头组织重大技</w:t>
      </w:r>
      <w:r>
        <w:rPr>
          <w:rFonts w:ascii="仿宋" w:eastAsia="仿宋" w:hAnsi="仿宋" w:cs="仿宋"/>
          <w:color w:val="000000"/>
          <w:sz w:val="30"/>
        </w:rPr>
        <w:lastRenderedPageBreak/>
        <w:t>术攻关和成果应用示范。</w:t>
      </w:r>
    </w:p>
    <w:p w14:paraId="4B6A3687"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（7）推动落实高新技术发展及产业化、科技促进农业农村和社会发展的规划、政策和措施。组织开展重点领域技术发展需求分析，提出重大任务并监督实施。</w:t>
      </w:r>
    </w:p>
    <w:p w14:paraId="108B9091"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（8）拟订科技成果转移转化和促进产学研结合的相关政策措施并监督实施。推动科技服务业、技术市场和科技中介组织发展；推动企业自主创新能力建设。</w:t>
      </w:r>
    </w:p>
    <w:p w14:paraId="20BBDA76"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（9）统筹科技创新体系建设，指导区域创新发展、科技资源合理布局和协同创新能力建设，推动科技园区建设。</w:t>
      </w:r>
    </w:p>
    <w:p w14:paraId="7124F490"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（10）负责组织申报国家和市级科技进步奖。</w:t>
      </w:r>
    </w:p>
    <w:p w14:paraId="58CC1321"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（11）统筹推进科研诚信建设。负责科技统计工作。负责科技保密工作。</w:t>
      </w:r>
    </w:p>
    <w:p w14:paraId="2E3B871A"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12）推动落实市科技局关于科技对外交往与创新能力开发合作的规划、政策和措施，推动落实市科技局关于国际科技合作与科技人才交流工作。推动落实市科技局关于引进国外智力工作。推动落实市科技局关于重点引进外国专家总体规划、计划，建立外国高端科学家、团队吸引集聚机制和重点外国专家联系服务机制。推动落实市科技局关于出国（境）培训政策和年度计划。</w:t>
      </w:r>
    </w:p>
    <w:p w14:paraId="5FBF06B8"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（13）会同有关部门拟订科技人才队伍建设规划和政策，建立健全科技人才评价和激励机制，组织实施科技人才计划，推动高端科技创新人才队伍建设。拟订科学普及和科学传播规划、政策。</w:t>
      </w:r>
    </w:p>
    <w:p w14:paraId="794AEC2E" w14:textId="77777777" w:rsidR="00BD77B3" w:rsidRDefault="007E7B1D" w:rsidP="00BD77B3">
      <w:pPr>
        <w:spacing w:line="560" w:lineRule="exact"/>
        <w:ind w:firstLine="600"/>
      </w:pPr>
      <w:r>
        <w:rPr>
          <w:rFonts w:ascii="仿宋" w:eastAsia="仿宋" w:hAnsi="仿宋" w:cs="仿宋"/>
          <w:color w:val="000000"/>
          <w:sz w:val="30"/>
        </w:rPr>
        <w:t>（14）组织推动科技领域招商引资工作。</w:t>
      </w:r>
    </w:p>
    <w:p w14:paraId="6C1BA87D"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（15）负责安全生产重大科技攻关、基础研究和应用研究的组织指导工作，推动安全生产科研成果的转化应用。负责本单位安全生产相关工作。</w:t>
      </w:r>
    </w:p>
    <w:p w14:paraId="01D3AFD2"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（16）指导各街镇、西青开发区的科技工作；协调相关部门的科技工作。</w:t>
      </w:r>
    </w:p>
    <w:p w14:paraId="645390AE" w14:textId="77777777" w:rsidR="00BD77B3" w:rsidRDefault="007E7B1D" w:rsidP="00BD77B3">
      <w:pPr>
        <w:spacing w:line="560" w:lineRule="exact"/>
        <w:ind w:firstLine="600"/>
      </w:pPr>
      <w:r>
        <w:rPr>
          <w:rFonts w:ascii="仿宋" w:eastAsia="仿宋" w:hAnsi="仿宋" w:cs="仿宋"/>
          <w:color w:val="000000"/>
          <w:sz w:val="30"/>
        </w:rPr>
        <w:t>（17）完成区委、区政府交办的其他事项。</w:t>
      </w:r>
    </w:p>
    <w:p w14:paraId="6AEBE2E4"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18）职能转变。围绕贯彻实施科教兴国战略、人才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落实科技人才评价机制，统筹科技人才队伍建设和引进国外智力工作。</w:t>
      </w:r>
    </w:p>
    <w:p w14:paraId="3BC557B4"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19）统筹负责天开高教科创园西青园发展建设工作。落实建设科技创新策源地、科研成果孵化器、科创服务生态圈要求，组织拟订天开高教科创园西青园总体发展战略、发展规划、产业规划、政策措施等，并协调落实。加强与天开高教科创园管委会、相关区沟通。</w:t>
      </w:r>
    </w:p>
    <w:p w14:paraId="59400AE4"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20）参与编制天开高教科创园西青园有关空间规划，统筹生产生活生态空间，优化空间布局和基础设施建设。管理天开高教科创园西青园专项发展资金。统筹推进天开高教科创园西青园人才工作。开展天开高教科创园西青园发展考核评价工</w:t>
      </w:r>
      <w:r>
        <w:rPr>
          <w:rFonts w:ascii="仿宋" w:eastAsia="仿宋" w:hAnsi="仿宋" w:cs="仿宋"/>
          <w:color w:val="000000"/>
          <w:sz w:val="30"/>
        </w:rPr>
        <w:lastRenderedPageBreak/>
        <w:t>作、运行综合统计工作。</w:t>
      </w:r>
    </w:p>
    <w:p w14:paraId="16D97095" w14:textId="77777777" w:rsidR="00BD77B3" w:rsidRDefault="007E7B1D" w:rsidP="00BD77B3">
      <w:pPr>
        <w:spacing w:line="560" w:lineRule="exact"/>
        <w:ind w:firstLine="600"/>
        <w:rPr>
          <w:rFonts w:ascii="仿宋" w:eastAsia="仿宋" w:hAnsi="仿宋" w:cs="仿宋"/>
          <w:color w:val="000000"/>
          <w:sz w:val="30"/>
        </w:rPr>
      </w:pPr>
      <w:r>
        <w:rPr>
          <w:rFonts w:ascii="仿宋" w:eastAsia="仿宋" w:hAnsi="仿宋" w:cs="仿宋"/>
          <w:color w:val="000000"/>
          <w:sz w:val="30"/>
        </w:rPr>
        <w:t>（21）开展天开高教科创园西青园创新创业、科研攻关、高新技术研发及其成果产业化等方面的促进和服务工作，坚持产教融合、科教融汇，培育战略性新兴产业、未来产业。协调相关部门单位，整合天开高教科创园西青园政务服务资源，优化营商环境。</w:t>
      </w:r>
    </w:p>
    <w:p w14:paraId="789D32AE" w14:textId="4AC58704" w:rsidR="00A16DFA" w:rsidRDefault="007E7B1D" w:rsidP="00BD77B3">
      <w:pPr>
        <w:spacing w:line="560" w:lineRule="exact"/>
        <w:ind w:firstLine="600"/>
      </w:pPr>
      <w:r>
        <w:rPr>
          <w:rFonts w:ascii="仿宋" w:eastAsia="仿宋" w:hAnsi="仿宋" w:cs="仿宋"/>
          <w:color w:val="000000"/>
          <w:sz w:val="30"/>
        </w:rPr>
        <w:t>（22）推动天天开高教科创园西青园招商引资、招才引智等工作。促进重要政策和重大项目、创新机构、高新企业等引进。推动天天开高教科创园西青园国际交流与合作。加强天开西青园国内合作交流，促进天开高教科创园西青园高校资源利用。统筹推动天开高教科创园西青园宣传、联络等工作。</w:t>
      </w:r>
    </w:p>
    <w:p w14:paraId="41AE2716" w14:textId="77777777" w:rsidR="00A16DFA" w:rsidRDefault="007E7B1D">
      <w:pPr>
        <w:spacing w:line="560" w:lineRule="exact"/>
        <w:ind w:firstLine="600"/>
      </w:pPr>
      <w:r>
        <w:rPr>
          <w:rFonts w:ascii="黑体" w:eastAsia="黑体" w:hAnsi="黑体" w:cs="黑体"/>
          <w:b/>
          <w:color w:val="000000"/>
          <w:sz w:val="30"/>
        </w:rPr>
        <w:t>二、机构设置情况</w:t>
      </w:r>
    </w:p>
    <w:p w14:paraId="511E43CB" w14:textId="77777777" w:rsidR="00A16DFA" w:rsidRDefault="007E7B1D">
      <w:pPr>
        <w:spacing w:line="560" w:lineRule="exact"/>
        <w:ind w:firstLine="600"/>
      </w:pPr>
      <w:r>
        <w:rPr>
          <w:rFonts w:ascii="仿宋" w:eastAsia="仿宋" w:hAnsi="仿宋" w:cs="仿宋"/>
          <w:color w:val="000000"/>
          <w:sz w:val="30"/>
        </w:rPr>
        <w:t>天津市西青区科学技术局部门内设2个职能科室；下辖1个预算单位。</w:t>
      </w:r>
    </w:p>
    <w:p w14:paraId="111BA38E" w14:textId="77777777" w:rsidR="00A16DFA" w:rsidRDefault="007E7B1D">
      <w:pPr>
        <w:spacing w:line="560" w:lineRule="exact"/>
        <w:ind w:firstLine="600"/>
      </w:pPr>
      <w:r>
        <w:rPr>
          <w:rFonts w:ascii="仿宋" w:eastAsia="仿宋" w:hAnsi="仿宋" w:cs="仿宋"/>
          <w:color w:val="000000"/>
          <w:sz w:val="30"/>
        </w:rPr>
        <w:t>纳入天津市西青区科学技术局单位2025年部门预算编制范围的预算单位包括：</w:t>
      </w:r>
    </w:p>
    <w:p w14:paraId="6C5E4C22" w14:textId="77777777" w:rsidR="00A16DFA" w:rsidRDefault="007E7B1D">
      <w:pPr>
        <w:spacing w:line="560" w:lineRule="exact"/>
        <w:ind w:firstLine="600"/>
      </w:pPr>
      <w:r>
        <w:rPr>
          <w:rFonts w:ascii="仿宋" w:eastAsia="仿宋" w:hAnsi="仿宋" w:cs="仿宋"/>
          <w:color w:val="000000"/>
          <w:sz w:val="30"/>
        </w:rPr>
        <w:t>1.天津市西青区科学技术局</w:t>
      </w:r>
    </w:p>
    <w:p w14:paraId="789BB47A" w14:textId="77777777" w:rsidR="00A16DFA" w:rsidRDefault="007E7B1D">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08679D8A" w14:textId="77777777" w:rsidR="00A16DFA" w:rsidRDefault="007E7B1D">
      <w:pPr>
        <w:spacing w:line="560" w:lineRule="exact"/>
        <w:ind w:firstLine="600"/>
      </w:pPr>
      <w:r>
        <w:rPr>
          <w:rFonts w:ascii="黑体" w:eastAsia="黑体" w:hAnsi="黑体" w:cs="黑体"/>
          <w:b/>
          <w:color w:val="000000"/>
          <w:sz w:val="30"/>
        </w:rPr>
        <w:t>一、关于收支总体情况表的说明</w:t>
      </w:r>
    </w:p>
    <w:p w14:paraId="0A137C4C" w14:textId="77777777" w:rsidR="00A16DFA" w:rsidRDefault="007E7B1D">
      <w:pPr>
        <w:spacing w:line="560" w:lineRule="exact"/>
        <w:ind w:firstLine="600"/>
      </w:pPr>
      <w:r>
        <w:rPr>
          <w:rFonts w:ascii="仿宋" w:eastAsia="仿宋" w:hAnsi="仿宋" w:cs="仿宋"/>
          <w:color w:val="000000"/>
          <w:sz w:val="30"/>
        </w:rPr>
        <w:t>按照综合预算的原则，天津市西青区科学技术局单位所有收入和支出均纳入部门预算管理。收入包括：一般公共预算拨款收入15,431.57万元、政府性基金预算拨款收入0万元、国有资本经营预算拨款收入0万元、财政专户管理资金收入0万元、事业收入0万元、事业单位经营收入0万元、上级补助收入0万元、附属单位上缴收入0万元、其他收入0万元、上年结转结余14,695.73万元；支出包括：教育支出0.11万元、科学技术支出30,057.24万元、社会保障和就业支出53.80万元、卫生健康支出16.14万元。天津市西青区科学技术局单位2025年收支总预算30,127.30万元。</w:t>
      </w:r>
    </w:p>
    <w:p w14:paraId="289415D3" w14:textId="77777777" w:rsidR="00A16DFA" w:rsidRDefault="007E7B1D">
      <w:pPr>
        <w:spacing w:line="560" w:lineRule="exact"/>
        <w:ind w:firstLine="600"/>
      </w:pPr>
      <w:r>
        <w:rPr>
          <w:rFonts w:ascii="黑体" w:eastAsia="黑体" w:hAnsi="黑体" w:cs="黑体"/>
          <w:b/>
          <w:color w:val="000000"/>
          <w:sz w:val="30"/>
        </w:rPr>
        <w:t>二、关于收入总体情况表的说明</w:t>
      </w:r>
    </w:p>
    <w:p w14:paraId="54160B8E" w14:textId="77777777" w:rsidR="00A16DFA" w:rsidRDefault="007E7B1D">
      <w:pPr>
        <w:spacing w:line="560" w:lineRule="exact"/>
        <w:ind w:firstLine="600"/>
      </w:pPr>
      <w:r>
        <w:rPr>
          <w:rFonts w:ascii="仿宋" w:eastAsia="仿宋" w:hAnsi="仿宋" w:cs="仿宋"/>
          <w:color w:val="000000"/>
          <w:sz w:val="30"/>
        </w:rPr>
        <w:t>天津市西青区科学技术局单位2025年部门预算收入30,127.30万元，与上年预算相比减少3,973.67万元，主要原因是上年结转结余及本年度项目支出预算减少。其中：上年结转结余14,695.73万元，占48.78%；一般公共预算15,431.57万元，占51.22%；政府性基金预算0万元，占0%；国有资本经营预算0万元，占0%；财政专户管理资金0万元，占0%；事业收入0万元，占0%；事业单位经营收入0万元，占0%；上级补助收入0万元，占0%；附属单位上缴收入0万元，占0%；其他收入0万元，占0%。</w:t>
      </w:r>
    </w:p>
    <w:p w14:paraId="6CC6207F" w14:textId="77777777" w:rsidR="00A16DFA" w:rsidRDefault="007E7B1D">
      <w:pPr>
        <w:spacing w:line="560" w:lineRule="exact"/>
        <w:ind w:firstLine="600"/>
      </w:pPr>
      <w:r>
        <w:rPr>
          <w:rFonts w:ascii="黑体" w:eastAsia="黑体" w:hAnsi="黑体" w:cs="黑体"/>
          <w:b/>
          <w:color w:val="000000"/>
          <w:sz w:val="30"/>
        </w:rPr>
        <w:t>三、关于支出总体情况表的说明</w:t>
      </w:r>
    </w:p>
    <w:p w14:paraId="07D9A725" w14:textId="77777777" w:rsidR="00A16DFA" w:rsidRDefault="007E7B1D">
      <w:pPr>
        <w:spacing w:line="560" w:lineRule="exact"/>
        <w:ind w:firstLine="600"/>
      </w:pPr>
      <w:r>
        <w:rPr>
          <w:rFonts w:ascii="仿宋" w:eastAsia="仿宋" w:hAnsi="仿宋" w:cs="仿宋"/>
          <w:color w:val="000000"/>
          <w:sz w:val="30"/>
        </w:rPr>
        <w:t>天津市西青区科学技术局单位2025年支出预算30,127.30</w:t>
      </w:r>
      <w:r>
        <w:rPr>
          <w:rFonts w:ascii="仿宋" w:eastAsia="仿宋" w:hAnsi="仿宋" w:cs="仿宋"/>
          <w:color w:val="000000"/>
          <w:sz w:val="30"/>
        </w:rPr>
        <w:lastRenderedPageBreak/>
        <w:t>万元，与上年预算相比减少3,973.67万元，主要原因是上年结转结余及本年度项目支出预算减少。其中：基本支出331.57万元，占1.10%；项目支出29,795.73万元，占98.90%；事业单位经营支出0万元，占0%；上缴上级支出0万元，占0%；对附属单位补助支出0万元，占0%。</w:t>
      </w:r>
    </w:p>
    <w:p w14:paraId="43EDE56C" w14:textId="77777777" w:rsidR="00A16DFA" w:rsidRDefault="007E7B1D">
      <w:pPr>
        <w:spacing w:line="560" w:lineRule="exact"/>
        <w:ind w:firstLine="600"/>
      </w:pPr>
      <w:r>
        <w:rPr>
          <w:rFonts w:ascii="黑体" w:eastAsia="黑体" w:hAnsi="黑体" w:cs="黑体"/>
          <w:b/>
          <w:color w:val="000000"/>
          <w:sz w:val="30"/>
        </w:rPr>
        <w:t>四、关于财政拨款收支总体情况表的说明</w:t>
      </w:r>
    </w:p>
    <w:p w14:paraId="188735CE" w14:textId="77777777" w:rsidR="00A16DFA" w:rsidRDefault="007E7B1D">
      <w:pPr>
        <w:spacing w:line="560" w:lineRule="exact"/>
        <w:ind w:firstLine="600"/>
      </w:pPr>
      <w:r>
        <w:rPr>
          <w:rFonts w:ascii="仿宋" w:eastAsia="仿宋" w:hAnsi="仿宋" w:cs="仿宋"/>
          <w:color w:val="000000"/>
          <w:sz w:val="30"/>
        </w:rPr>
        <w:t>天津市西青区科学技术局单位2025年财政拨款收入预算30,127.30万元，与上年预算相比减少3,973.67万元，主要原因是上年结转结余及本年度项目支出预算减少。收入包括：一般公共预算拨款收入15,431.57万元、政府性基金预算拨款收入0万元、上年财政结转结余14,695.73万元、国有资本经营预算拨款收入0万元、2025年财政拨款支出预算30,127.30万元，与上年预算相比减少3,973.67万元，主要原因是上年结转结余及本年度项目支出预算减少。支出包括：教育支出0.11万元 ；科学技术支出30,057.24万元 ；社会保障和就业支出53.80万元 ；卫生健康支出16.14万元。</w:t>
      </w:r>
    </w:p>
    <w:p w14:paraId="1627E3F3" w14:textId="77777777" w:rsidR="00A16DFA" w:rsidRDefault="007E7B1D">
      <w:pPr>
        <w:spacing w:line="560" w:lineRule="exact"/>
        <w:ind w:firstLine="600"/>
      </w:pPr>
      <w:r>
        <w:rPr>
          <w:rFonts w:ascii="黑体" w:eastAsia="黑体" w:hAnsi="黑体" w:cs="黑体"/>
          <w:b/>
          <w:color w:val="000000"/>
          <w:sz w:val="30"/>
        </w:rPr>
        <w:t>五、关于一般公共预算支出情况表的说明</w:t>
      </w:r>
    </w:p>
    <w:p w14:paraId="13609907" w14:textId="77777777" w:rsidR="00A16DFA" w:rsidRDefault="007E7B1D">
      <w:pPr>
        <w:spacing w:line="560" w:lineRule="exact"/>
        <w:ind w:firstLine="600"/>
      </w:pPr>
      <w:r>
        <w:rPr>
          <w:rFonts w:ascii="楷体" w:eastAsia="楷体" w:hAnsi="楷体" w:cs="楷体"/>
          <w:b/>
          <w:color w:val="000000"/>
          <w:sz w:val="30"/>
        </w:rPr>
        <w:t>（一）总体情况</w:t>
      </w:r>
    </w:p>
    <w:p w14:paraId="7BDB5A69" w14:textId="77777777" w:rsidR="00A16DFA" w:rsidRDefault="007E7B1D">
      <w:pPr>
        <w:spacing w:line="560" w:lineRule="exact"/>
        <w:ind w:firstLine="600"/>
      </w:pPr>
      <w:r>
        <w:rPr>
          <w:rFonts w:ascii="仿宋" w:eastAsia="仿宋" w:hAnsi="仿宋" w:cs="仿宋"/>
          <w:color w:val="000000"/>
          <w:sz w:val="30"/>
        </w:rPr>
        <w:t>天津市西青区科学技术局单位2025年一般公共预算支出30,127.30万元(上年34,100.97万元），与上年预算相比减少3,973.67万元，主要原因是上年结转结余及本年度项目支出预算减少。</w:t>
      </w:r>
    </w:p>
    <w:p w14:paraId="2928692E" w14:textId="77777777" w:rsidR="00A16DFA" w:rsidRDefault="007E7B1D">
      <w:pPr>
        <w:spacing w:line="560" w:lineRule="exact"/>
        <w:ind w:firstLine="600"/>
      </w:pPr>
      <w:r>
        <w:rPr>
          <w:rFonts w:ascii="楷体" w:eastAsia="楷体" w:hAnsi="楷体" w:cs="楷体"/>
          <w:b/>
          <w:color w:val="000000"/>
          <w:sz w:val="30"/>
        </w:rPr>
        <w:t>（二）具体情况</w:t>
      </w:r>
    </w:p>
    <w:p w14:paraId="0E57C715" w14:textId="77777777" w:rsidR="00A16DFA" w:rsidRDefault="007E7B1D">
      <w:pPr>
        <w:spacing w:line="560" w:lineRule="exact"/>
        <w:ind w:firstLine="600"/>
      </w:pPr>
      <w:r>
        <w:rPr>
          <w:rFonts w:ascii="仿宋" w:eastAsia="仿宋" w:hAnsi="仿宋" w:cs="仿宋"/>
          <w:color w:val="000000"/>
          <w:sz w:val="30"/>
        </w:rPr>
        <w:t>1、“教育支出（类）”0.11万元，与上年预算相比增加</w:t>
      </w:r>
      <w:r>
        <w:rPr>
          <w:rFonts w:ascii="仿宋" w:eastAsia="仿宋" w:hAnsi="仿宋" w:cs="仿宋"/>
          <w:color w:val="000000"/>
          <w:sz w:val="30"/>
        </w:rPr>
        <w:lastRenderedPageBreak/>
        <w:t>0.01万元，主要原因是人员增加1人；其中：“进修及培训（款）”0.11万元，包括：“培训支出（项）”0.11万元，主要用于人员培训。</w:t>
      </w:r>
    </w:p>
    <w:p w14:paraId="587D1B0A" w14:textId="77777777" w:rsidR="00A16DFA" w:rsidRDefault="007E7B1D">
      <w:pPr>
        <w:spacing w:line="560" w:lineRule="exact"/>
        <w:ind w:firstLine="600"/>
      </w:pPr>
      <w:r>
        <w:rPr>
          <w:rFonts w:ascii="仿宋" w:eastAsia="仿宋" w:hAnsi="仿宋" w:cs="仿宋"/>
          <w:color w:val="000000"/>
          <w:sz w:val="30"/>
        </w:rPr>
        <w:t>2、“科学技术支出（类）”30,057.24万元，与上年预算相比减少3,979.35万元，主要原因是上年结转结余及本年度项目支出预算减少。其中：“科学技术管理事务（款）”261.51万元，包括：“行政运行（科学技术管理事务）（项）”261.51万元，主要用于单位人员日常办公支出。</w:t>
      </w:r>
    </w:p>
    <w:p w14:paraId="52832121" w14:textId="77777777" w:rsidR="00A16DFA" w:rsidRDefault="007E7B1D">
      <w:pPr>
        <w:spacing w:line="560" w:lineRule="exact"/>
        <w:ind w:firstLine="600"/>
      </w:pPr>
      <w:r>
        <w:rPr>
          <w:rFonts w:ascii="仿宋" w:eastAsia="仿宋" w:hAnsi="仿宋" w:cs="仿宋"/>
          <w:color w:val="000000"/>
          <w:sz w:val="30"/>
        </w:rPr>
        <w:t>“基础研究（款）”100.00万元，包括：“科技人才队伍建设（项）”100.00万元，主要用于人才政策项目。</w:t>
      </w:r>
    </w:p>
    <w:p w14:paraId="0B9AC84E" w14:textId="77777777" w:rsidR="00A16DFA" w:rsidRDefault="007E7B1D">
      <w:pPr>
        <w:spacing w:line="560" w:lineRule="exact"/>
        <w:ind w:firstLine="600"/>
      </w:pPr>
      <w:r>
        <w:rPr>
          <w:rFonts w:ascii="仿宋" w:eastAsia="仿宋" w:hAnsi="仿宋" w:cs="仿宋"/>
          <w:color w:val="000000"/>
          <w:sz w:val="30"/>
        </w:rPr>
        <w:t>“技术研究与开发（款）”14,695.73万元，包括：“其他技术研究与开发支出（项）”14,695.73万元，主要用于市级科技政策项目。</w:t>
      </w:r>
    </w:p>
    <w:p w14:paraId="4C031F98" w14:textId="77777777" w:rsidR="00A16DFA" w:rsidRDefault="007E7B1D">
      <w:pPr>
        <w:spacing w:line="560" w:lineRule="exact"/>
        <w:ind w:firstLine="600"/>
      </w:pPr>
      <w:r>
        <w:rPr>
          <w:rFonts w:ascii="仿宋" w:eastAsia="仿宋" w:hAnsi="仿宋" w:cs="仿宋"/>
          <w:color w:val="000000"/>
          <w:sz w:val="30"/>
        </w:rPr>
        <w:t>“其他科学技术支出（款）”15,000.00万元，包括：“其他科学技术支出（项）”15,000.00万元，主要用于天开西青园建设相关项目。</w:t>
      </w:r>
    </w:p>
    <w:p w14:paraId="2EDFDA18" w14:textId="77777777" w:rsidR="00A16DFA" w:rsidRDefault="007E7B1D">
      <w:pPr>
        <w:spacing w:line="560" w:lineRule="exact"/>
        <w:ind w:firstLine="600"/>
      </w:pPr>
      <w:r>
        <w:rPr>
          <w:rFonts w:ascii="仿宋" w:eastAsia="仿宋" w:hAnsi="仿宋" w:cs="仿宋"/>
          <w:color w:val="000000"/>
          <w:sz w:val="30"/>
        </w:rPr>
        <w:t>3、“社会保障和就业支出（类）”53.80万元，与上年预算相比增加4.70万元，主要原因是人员增加1人；其中：“行政事业单位养老支出（款）”53.80万元，包括：“行政单位离退休（项）”21.52万元，主要用于离退休人员津补贴；“机关事业单位基本养老保险缴费支出（项）”21.53万元，主要用于缴纳养老保险；“机关事业单位职业年金缴费支出（项）”10.76万元，主要用于缴纳职业年金。</w:t>
      </w:r>
    </w:p>
    <w:p w14:paraId="5CBE9652" w14:textId="77777777" w:rsidR="00A16DFA" w:rsidRDefault="007E7B1D">
      <w:pPr>
        <w:spacing w:line="560" w:lineRule="exact"/>
        <w:ind w:firstLine="600"/>
      </w:pPr>
      <w:r>
        <w:rPr>
          <w:rFonts w:ascii="仿宋" w:eastAsia="仿宋" w:hAnsi="仿宋" w:cs="仿宋"/>
          <w:color w:val="000000"/>
          <w:sz w:val="30"/>
        </w:rPr>
        <w:t>4、“卫生健康支出（类）”16.14万元，与上年预算相比</w:t>
      </w:r>
      <w:r>
        <w:rPr>
          <w:rFonts w:ascii="仿宋" w:eastAsia="仿宋" w:hAnsi="仿宋" w:cs="仿宋"/>
          <w:color w:val="000000"/>
          <w:sz w:val="30"/>
        </w:rPr>
        <w:lastRenderedPageBreak/>
        <w:t>增加0.96万元，主要原因是人员增加1人。其中：“行政事业单位医疗（款）”16.14万元，包括：“行政单位医疗（项）”13.45万元，主要用于缴纳基本医疗保险；“公务员医疗补助（项）”2.69万元，主要用于公务员医疗补助。</w:t>
      </w:r>
    </w:p>
    <w:p w14:paraId="1699AC32" w14:textId="77777777" w:rsidR="00A16DFA" w:rsidRDefault="007E7B1D">
      <w:pPr>
        <w:spacing w:line="560" w:lineRule="exact"/>
        <w:ind w:firstLine="600"/>
      </w:pPr>
      <w:r>
        <w:rPr>
          <w:rFonts w:ascii="黑体" w:eastAsia="黑体" w:hAnsi="黑体" w:cs="黑体"/>
          <w:b/>
          <w:color w:val="000000"/>
          <w:sz w:val="30"/>
        </w:rPr>
        <w:t>六、关于一般公共预算基本支出情况表的说明</w:t>
      </w:r>
    </w:p>
    <w:p w14:paraId="206FBCED" w14:textId="77777777" w:rsidR="00A16DFA" w:rsidRDefault="007E7B1D">
      <w:pPr>
        <w:spacing w:line="560" w:lineRule="exact"/>
        <w:ind w:firstLine="600"/>
      </w:pPr>
      <w:r>
        <w:rPr>
          <w:rFonts w:ascii="仿宋" w:eastAsia="仿宋" w:hAnsi="仿宋" w:cs="仿宋"/>
          <w:color w:val="000000"/>
          <w:sz w:val="30"/>
        </w:rPr>
        <w:t>天津市西青区科学技术局单位2025年一般公共预算基本支出 331.57万元，与上年预算相比增加37.10万元，主要原因是人员增加1人。其中：人员经费 289.70万元，主要包括：基本工资、津贴补贴、奖金、机关事业单位基本养老保险缴费、职业年金缴费、职工基本医疗保险缴费、公务员医疗补助缴费、其他社会保障缴费、住房公积金、其他工资福利支出、离休费、退休费、奖励金、其他对个人和家庭的补助等；</w:t>
      </w:r>
    </w:p>
    <w:p w14:paraId="79AFA3DD" w14:textId="77777777" w:rsidR="00A16DFA" w:rsidRDefault="007E7B1D">
      <w:pPr>
        <w:spacing w:line="560" w:lineRule="exact"/>
        <w:ind w:firstLine="600"/>
      </w:pPr>
      <w:r>
        <w:rPr>
          <w:rFonts w:ascii="仿宋" w:eastAsia="仿宋" w:hAnsi="仿宋" w:cs="仿宋"/>
          <w:color w:val="000000"/>
          <w:sz w:val="30"/>
        </w:rPr>
        <w:t>公用经费41.87万元，主要包括：办公费、手续费、水费、电费、邮电费、物业管理费、差旅费、维修（护）费、培训费、公务接待费、委托业务费、工会经费、福利费、其他交通费用、其他商品和服务支出、办公设备购置等。</w:t>
      </w:r>
    </w:p>
    <w:p w14:paraId="622E5855" w14:textId="77777777" w:rsidR="00A16DFA" w:rsidRDefault="007E7B1D">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2025年一般公共预算“三公”经费安排0.10万元，与2024年预算相比减少0万元，主要原因是无变化。</w:t>
      </w:r>
    </w:p>
    <w:p w14:paraId="26FFA93F" w14:textId="77777777" w:rsidR="00A16DFA" w:rsidRDefault="007E7B1D">
      <w:pPr>
        <w:spacing w:line="560" w:lineRule="exact"/>
        <w:ind w:firstLine="600"/>
      </w:pPr>
      <w:r>
        <w:rPr>
          <w:rFonts w:ascii="仿宋" w:eastAsia="仿宋" w:hAnsi="仿宋" w:cs="仿宋"/>
          <w:color w:val="000000"/>
          <w:sz w:val="30"/>
        </w:rPr>
        <w:t>具体情况：</w:t>
      </w:r>
    </w:p>
    <w:p w14:paraId="390C8CBC" w14:textId="77777777" w:rsidR="00A16DFA" w:rsidRDefault="007E7B1D">
      <w:pPr>
        <w:spacing w:line="560" w:lineRule="exact"/>
        <w:ind w:firstLine="600"/>
      </w:pPr>
      <w:r>
        <w:rPr>
          <w:rFonts w:ascii="仿宋" w:eastAsia="仿宋" w:hAnsi="仿宋" w:cs="仿宋"/>
          <w:color w:val="000000"/>
          <w:sz w:val="30"/>
        </w:rPr>
        <w:t>一、2025年因公出国（境）费预算0万元，与2024年预算相比减少0万元，主要原因是无支出。</w:t>
      </w:r>
    </w:p>
    <w:p w14:paraId="317FE0A3" w14:textId="77777777" w:rsidR="00A16DFA" w:rsidRDefault="007E7B1D">
      <w:pPr>
        <w:spacing w:line="560" w:lineRule="exact"/>
        <w:ind w:firstLine="600"/>
      </w:pPr>
      <w:r>
        <w:rPr>
          <w:rFonts w:ascii="仿宋" w:eastAsia="仿宋" w:hAnsi="仿宋" w:cs="仿宋"/>
          <w:color w:val="000000"/>
          <w:sz w:val="30"/>
        </w:rPr>
        <w:t>二、2025年公务用车购置及运行费预算0万元，</w:t>
      </w:r>
    </w:p>
    <w:p w14:paraId="11D9ACFA" w14:textId="77777777" w:rsidR="00A16DFA" w:rsidRDefault="007E7B1D">
      <w:pPr>
        <w:spacing w:line="560" w:lineRule="exact"/>
        <w:ind w:firstLine="600"/>
      </w:pPr>
      <w:r>
        <w:rPr>
          <w:rFonts w:ascii="仿宋" w:eastAsia="仿宋" w:hAnsi="仿宋" w:cs="仿宋"/>
          <w:color w:val="000000"/>
          <w:sz w:val="30"/>
        </w:rPr>
        <w:t>其中公务用车运行费0万元，与2024年预算相比减少0万</w:t>
      </w:r>
      <w:r>
        <w:rPr>
          <w:rFonts w:ascii="仿宋" w:eastAsia="仿宋" w:hAnsi="仿宋" w:cs="仿宋"/>
          <w:color w:val="000000"/>
          <w:sz w:val="30"/>
        </w:rPr>
        <w:lastRenderedPageBreak/>
        <w:t>元，主要原因是无公务用车；公务用车购置费0万元，与2024年预算相比减少0万元，主要原因是无支出。</w:t>
      </w:r>
    </w:p>
    <w:p w14:paraId="66CDAB8A" w14:textId="77777777" w:rsidR="00A16DFA" w:rsidRDefault="007E7B1D">
      <w:pPr>
        <w:spacing w:line="560" w:lineRule="exact"/>
        <w:ind w:firstLine="600"/>
      </w:pPr>
      <w:r>
        <w:rPr>
          <w:rFonts w:ascii="仿宋" w:eastAsia="仿宋" w:hAnsi="仿宋" w:cs="仿宋"/>
          <w:color w:val="000000"/>
          <w:sz w:val="30"/>
        </w:rPr>
        <w:t>三、2025年公务接待费预算0.10万元，与2024年预算相比减少0万元，主要原因是无变化。</w:t>
      </w:r>
    </w:p>
    <w:p w14:paraId="7B3ABA3A" w14:textId="77777777" w:rsidR="00A16DFA" w:rsidRDefault="007E7B1D">
      <w:pPr>
        <w:spacing w:line="560" w:lineRule="exact"/>
        <w:ind w:firstLine="600"/>
      </w:pPr>
      <w:r>
        <w:rPr>
          <w:rFonts w:ascii="黑体" w:eastAsia="黑体" w:hAnsi="黑体" w:cs="黑体"/>
          <w:b/>
          <w:color w:val="000000"/>
          <w:sz w:val="30"/>
        </w:rPr>
        <w:t>八、关于政府性基金预算支出情况表的说明</w:t>
      </w:r>
    </w:p>
    <w:p w14:paraId="17072EE5" w14:textId="77777777" w:rsidR="00A16DFA" w:rsidRDefault="007E7B1D">
      <w:pPr>
        <w:spacing w:line="560" w:lineRule="exact"/>
        <w:ind w:firstLine="600"/>
      </w:pPr>
      <w:r>
        <w:rPr>
          <w:rFonts w:ascii="仿宋" w:eastAsia="仿宋" w:hAnsi="仿宋" w:cs="仿宋"/>
          <w:color w:val="000000"/>
          <w:sz w:val="30"/>
        </w:rPr>
        <w:t>2025年天津市西青区科学技术局单位预算中没有使用政府性基金预算安排的支出。</w:t>
      </w:r>
    </w:p>
    <w:p w14:paraId="099EC95B" w14:textId="77777777" w:rsidR="00A16DFA" w:rsidRDefault="007E7B1D">
      <w:pPr>
        <w:spacing w:line="560" w:lineRule="exact"/>
        <w:ind w:firstLine="600"/>
      </w:pPr>
      <w:r>
        <w:rPr>
          <w:rFonts w:ascii="黑体" w:eastAsia="黑体" w:hAnsi="黑体" w:cs="黑体"/>
          <w:b/>
          <w:color w:val="000000"/>
          <w:sz w:val="30"/>
        </w:rPr>
        <w:t>九、关于国有资本经营预算支出情况表的说明</w:t>
      </w:r>
    </w:p>
    <w:p w14:paraId="2B9F6A72" w14:textId="77777777" w:rsidR="00A16DFA" w:rsidRDefault="007E7B1D">
      <w:pPr>
        <w:spacing w:line="560" w:lineRule="exact"/>
        <w:ind w:firstLine="600"/>
      </w:pPr>
      <w:r>
        <w:rPr>
          <w:rFonts w:ascii="仿宋" w:eastAsia="仿宋" w:hAnsi="仿宋" w:cs="仿宋"/>
          <w:color w:val="000000"/>
          <w:sz w:val="30"/>
        </w:rPr>
        <w:t>2025</w:t>
      </w:r>
      <w:r w:rsidR="00E3557C">
        <w:rPr>
          <w:rFonts w:ascii="仿宋" w:eastAsia="仿宋" w:hAnsi="仿宋" w:cs="仿宋"/>
          <w:color w:val="000000"/>
          <w:sz w:val="30"/>
        </w:rPr>
        <w:t>年天津市西青区科学技术局单位预算中没有使用国有资本经营</w:t>
      </w:r>
      <w:r>
        <w:rPr>
          <w:rFonts w:ascii="仿宋" w:eastAsia="仿宋" w:hAnsi="仿宋" w:cs="仿宋"/>
          <w:color w:val="000000"/>
          <w:sz w:val="30"/>
        </w:rPr>
        <w:t>预算安排的支出。</w:t>
      </w:r>
    </w:p>
    <w:p w14:paraId="1DC36EB5" w14:textId="77777777" w:rsidR="00A16DFA" w:rsidRDefault="007E7B1D">
      <w:pPr>
        <w:spacing w:line="560" w:lineRule="exact"/>
        <w:ind w:firstLine="600"/>
      </w:pPr>
      <w:r>
        <w:rPr>
          <w:rFonts w:ascii="黑体" w:eastAsia="黑体" w:hAnsi="黑体" w:cs="黑体"/>
          <w:b/>
          <w:color w:val="000000"/>
          <w:sz w:val="30"/>
        </w:rPr>
        <w:t>十、其他重要事项的情况说明</w:t>
      </w:r>
    </w:p>
    <w:p w14:paraId="6D7AE0AE" w14:textId="77777777" w:rsidR="00A16DFA" w:rsidRDefault="007E7B1D">
      <w:pPr>
        <w:spacing w:line="560" w:lineRule="exact"/>
        <w:ind w:firstLine="600"/>
      </w:pPr>
      <w:r>
        <w:rPr>
          <w:rFonts w:ascii="楷体" w:eastAsia="楷体" w:hAnsi="楷体" w:cs="楷体"/>
          <w:b/>
          <w:color w:val="000000"/>
          <w:sz w:val="30"/>
        </w:rPr>
        <w:t>（一）机关运行经费。</w:t>
      </w:r>
    </w:p>
    <w:p w14:paraId="1E0A65A1" w14:textId="77777777" w:rsidR="00A16DFA" w:rsidRDefault="007E7B1D">
      <w:pPr>
        <w:spacing w:line="560" w:lineRule="exact"/>
        <w:ind w:firstLine="600"/>
      </w:pPr>
      <w:r>
        <w:rPr>
          <w:rFonts w:ascii="仿宋" w:eastAsia="仿宋" w:hAnsi="仿宋" w:cs="仿宋"/>
          <w:color w:val="000000"/>
          <w:sz w:val="30"/>
        </w:rPr>
        <w:t>本单位2025年天津市西青区科学技术局1家行政单位以及0家参公管理事业单位的机关运行经费预算41.87万元，包括办公费4.08万元、手续费0.13万元、水费0.66万元、电费0.99万元、邮电费0.66万元、物业管理费7.92万元、差旅费0.62万元、维修(护)费0.66万元、培训费0.11万元、公务接待费0.10万元、委托业务费2.40万元、工会经费3.34万元、福利费2.00万元、其他交通费用9.49万元、其他商品和服务支出7.66万元、办公设备购置1.05万元 。</w:t>
      </w:r>
    </w:p>
    <w:p w14:paraId="0FE9930E" w14:textId="77777777" w:rsidR="00A16DFA" w:rsidRDefault="007E7B1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本部门2025年安排政府采购预算1.68万元，其中：政府采购货物支出1.68万元、政府采购工程支出0万元、政府采购服务支出0万元。主要项目是：计划采购复印纸、家具用具等。</w:t>
      </w:r>
    </w:p>
    <w:p w14:paraId="0EBB3118" w14:textId="77777777" w:rsidR="00A16DFA" w:rsidRDefault="007E7B1D">
      <w:pPr>
        <w:spacing w:line="560" w:lineRule="exact"/>
        <w:ind w:firstLine="600"/>
      </w:pPr>
      <w:r>
        <w:rPr>
          <w:rFonts w:ascii="楷体" w:eastAsia="楷体" w:hAnsi="楷体" w:cs="楷体"/>
          <w:b/>
          <w:color w:val="000000"/>
          <w:sz w:val="30"/>
        </w:rPr>
        <w:lastRenderedPageBreak/>
        <w:t>（三）国有资产占用情况</w:t>
      </w:r>
    </w:p>
    <w:p w14:paraId="3E571141" w14:textId="77777777" w:rsidR="00A16DFA" w:rsidRDefault="007E7B1D">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2D3DB28C" w14:textId="77777777" w:rsidR="00A16DFA" w:rsidRDefault="007E7B1D">
      <w:pPr>
        <w:spacing w:line="560" w:lineRule="exact"/>
        <w:ind w:firstLine="600"/>
      </w:pPr>
      <w:r>
        <w:rPr>
          <w:rFonts w:ascii="楷体" w:eastAsia="楷体" w:hAnsi="楷体" w:cs="楷体"/>
          <w:b/>
          <w:color w:val="000000"/>
          <w:sz w:val="30"/>
        </w:rPr>
        <w:t>（四）预算绩效情况说明。</w:t>
      </w:r>
    </w:p>
    <w:p w14:paraId="32F766B9" w14:textId="77777777" w:rsidR="00A16DFA" w:rsidRDefault="007E7B1D">
      <w:pPr>
        <w:spacing w:line="560" w:lineRule="exact"/>
        <w:ind w:firstLine="600"/>
      </w:pPr>
      <w:r>
        <w:rPr>
          <w:rFonts w:ascii="仿宋" w:eastAsia="仿宋" w:hAnsi="仿宋" w:cs="仿宋"/>
          <w:color w:val="000000"/>
          <w:sz w:val="30"/>
        </w:rPr>
        <w:t>天津市西青区科学技术局单位2025年实行绩效目标管理的项目17个，涉及预算金额29795.73万元。</w:t>
      </w:r>
    </w:p>
    <w:p w14:paraId="582C9415" w14:textId="77777777" w:rsidR="00A16DFA" w:rsidRDefault="007E7B1D">
      <w:pPr>
        <w:pageBreakBefore/>
        <w:spacing w:line="560" w:lineRule="exact"/>
        <w:jc w:val="center"/>
      </w:pPr>
      <w:r>
        <w:rPr>
          <w:rFonts w:ascii="黑体" w:eastAsia="黑体" w:hAnsi="黑体" w:cs="黑体"/>
          <w:b/>
          <w:color w:val="000000"/>
          <w:sz w:val="48"/>
        </w:rPr>
        <w:lastRenderedPageBreak/>
        <w:t>第三部分  名词解释</w:t>
      </w:r>
    </w:p>
    <w:p w14:paraId="4139D168" w14:textId="77777777" w:rsidR="00A16DFA" w:rsidRDefault="007E7B1D">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2234C36" w14:textId="77777777" w:rsidR="00A16DFA" w:rsidRDefault="007E7B1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F2F8DC1" w14:textId="77777777" w:rsidR="00A16DFA" w:rsidRDefault="007E7B1D">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E5E12A8" w14:textId="77777777" w:rsidR="00A16DFA" w:rsidRDefault="007E7B1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FEA673" w14:textId="77777777" w:rsidR="00A16DFA" w:rsidRDefault="007E7B1D">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19446771" w14:textId="77777777" w:rsidR="00A16DFA" w:rsidRDefault="007E7B1D">
      <w:pPr>
        <w:spacing w:line="560" w:lineRule="exact"/>
      </w:pPr>
      <w:r>
        <w:rPr>
          <w:rFonts w:ascii="楷体" w:eastAsia="楷体" w:hAnsi="楷体" w:cs="楷体"/>
          <w:b/>
          <w:color w:val="000000"/>
          <w:sz w:val="30"/>
        </w:rPr>
        <w:t>一、《部门收支总体情况表》</w:t>
      </w:r>
    </w:p>
    <w:p w14:paraId="70410F79" w14:textId="77777777" w:rsidR="00A16DFA" w:rsidRDefault="007E7B1D">
      <w:pPr>
        <w:spacing w:line="560" w:lineRule="exact"/>
      </w:pPr>
      <w:r>
        <w:rPr>
          <w:rFonts w:ascii="楷体" w:eastAsia="楷体" w:hAnsi="楷体" w:cs="楷体"/>
          <w:b/>
          <w:color w:val="000000"/>
          <w:sz w:val="30"/>
        </w:rPr>
        <w:t>二、《部门收入总体情况表》</w:t>
      </w:r>
    </w:p>
    <w:p w14:paraId="0AFB825B" w14:textId="77777777" w:rsidR="00A16DFA" w:rsidRDefault="007E7B1D">
      <w:pPr>
        <w:spacing w:line="560" w:lineRule="exact"/>
      </w:pPr>
      <w:r>
        <w:rPr>
          <w:rFonts w:ascii="楷体" w:eastAsia="楷体" w:hAnsi="楷体" w:cs="楷体"/>
          <w:b/>
          <w:color w:val="000000"/>
          <w:sz w:val="30"/>
        </w:rPr>
        <w:t>三、《部门支出总体情况表》</w:t>
      </w:r>
    </w:p>
    <w:p w14:paraId="6DC49806" w14:textId="77777777" w:rsidR="00A16DFA" w:rsidRDefault="007E7B1D">
      <w:pPr>
        <w:spacing w:line="560" w:lineRule="exact"/>
      </w:pPr>
      <w:r>
        <w:rPr>
          <w:rFonts w:ascii="楷体" w:eastAsia="楷体" w:hAnsi="楷体" w:cs="楷体"/>
          <w:b/>
          <w:color w:val="000000"/>
          <w:sz w:val="30"/>
        </w:rPr>
        <w:t>四、《财政拨款收支总体情况表》</w:t>
      </w:r>
    </w:p>
    <w:p w14:paraId="2A091C83" w14:textId="77777777" w:rsidR="00A16DFA" w:rsidRDefault="007E7B1D">
      <w:pPr>
        <w:spacing w:line="560" w:lineRule="exact"/>
      </w:pPr>
      <w:r>
        <w:rPr>
          <w:rFonts w:ascii="楷体" w:eastAsia="楷体" w:hAnsi="楷体" w:cs="楷体"/>
          <w:b/>
          <w:color w:val="000000"/>
          <w:sz w:val="30"/>
        </w:rPr>
        <w:t>五、《一般公共预算支出情况表》</w:t>
      </w:r>
    </w:p>
    <w:p w14:paraId="3A978AA8" w14:textId="77777777" w:rsidR="00A16DFA" w:rsidRDefault="007E7B1D">
      <w:pPr>
        <w:spacing w:line="560" w:lineRule="exact"/>
      </w:pPr>
      <w:r>
        <w:rPr>
          <w:rFonts w:ascii="楷体" w:eastAsia="楷体" w:hAnsi="楷体" w:cs="楷体"/>
          <w:b/>
          <w:color w:val="000000"/>
          <w:sz w:val="30"/>
        </w:rPr>
        <w:t>六、《一般公共预算基本支出情况表》</w:t>
      </w:r>
    </w:p>
    <w:p w14:paraId="62AF2A4B" w14:textId="77777777" w:rsidR="00A16DFA" w:rsidRDefault="007E7B1D">
      <w:pPr>
        <w:spacing w:line="560" w:lineRule="exact"/>
      </w:pPr>
      <w:r>
        <w:rPr>
          <w:rFonts w:ascii="楷体" w:eastAsia="楷体" w:hAnsi="楷体" w:cs="楷体"/>
          <w:b/>
          <w:color w:val="000000"/>
          <w:sz w:val="30"/>
        </w:rPr>
        <w:t>七、《一般公共预算“三公”经费支出情况表》</w:t>
      </w:r>
    </w:p>
    <w:p w14:paraId="74F66239" w14:textId="77777777" w:rsidR="00A16DFA" w:rsidRDefault="007E7B1D">
      <w:pPr>
        <w:spacing w:line="560" w:lineRule="exact"/>
      </w:pPr>
      <w:r>
        <w:rPr>
          <w:rFonts w:ascii="楷体" w:eastAsia="楷体" w:hAnsi="楷体" w:cs="楷体"/>
          <w:b/>
          <w:color w:val="000000"/>
          <w:sz w:val="30"/>
        </w:rPr>
        <w:t>八、《政府性基金预算支出情况表》</w:t>
      </w:r>
    </w:p>
    <w:p w14:paraId="2B2322E3" w14:textId="77777777" w:rsidR="00A16DFA" w:rsidRDefault="007E7B1D">
      <w:pPr>
        <w:spacing w:line="560" w:lineRule="exact"/>
      </w:pPr>
      <w:r>
        <w:rPr>
          <w:rFonts w:ascii="楷体" w:eastAsia="楷体" w:hAnsi="楷体" w:cs="楷体"/>
          <w:b/>
          <w:color w:val="000000"/>
          <w:sz w:val="30"/>
        </w:rPr>
        <w:t>九、《国有资本经营预算支出情况表》</w:t>
      </w:r>
    </w:p>
    <w:p w14:paraId="7DFE33CE" w14:textId="77777777" w:rsidR="00A16DFA" w:rsidRDefault="007E7B1D">
      <w:pPr>
        <w:spacing w:line="560" w:lineRule="exact"/>
      </w:pPr>
      <w:r>
        <w:rPr>
          <w:rFonts w:ascii="楷体" w:eastAsia="楷体" w:hAnsi="楷体" w:cs="楷体"/>
          <w:b/>
          <w:color w:val="000000"/>
          <w:sz w:val="30"/>
        </w:rPr>
        <w:t>十、《项目支出表》</w:t>
      </w:r>
    </w:p>
    <w:p w14:paraId="1C1661C5" w14:textId="77777777" w:rsidR="00A16DFA" w:rsidRDefault="007E7B1D">
      <w:pPr>
        <w:spacing w:line="560" w:lineRule="exact"/>
      </w:pPr>
      <w:r>
        <w:rPr>
          <w:rFonts w:ascii="楷体" w:eastAsia="楷体" w:hAnsi="楷体" w:cs="楷体"/>
          <w:b/>
          <w:color w:val="000000"/>
          <w:sz w:val="30"/>
        </w:rPr>
        <w:t>十一、关于空表说明</w:t>
      </w:r>
    </w:p>
    <w:p w14:paraId="21B186D4" w14:textId="77777777" w:rsidR="00A16DFA" w:rsidRDefault="007E7B1D">
      <w:pPr>
        <w:pageBreakBefore/>
        <w:spacing w:line="560" w:lineRule="exact"/>
      </w:pPr>
      <w:r>
        <w:rPr>
          <w:rFonts w:ascii="仿宋" w:eastAsia="仿宋" w:hAnsi="仿宋" w:cs="仿宋"/>
          <w:b/>
          <w:color w:val="000000"/>
          <w:sz w:val="30"/>
        </w:rPr>
        <w:lastRenderedPageBreak/>
        <w:t>十一、关于空表的说明</w:t>
      </w:r>
    </w:p>
    <w:p w14:paraId="328E38B3" w14:textId="77777777" w:rsidR="00A16DFA" w:rsidRDefault="007E7B1D">
      <w:pPr>
        <w:spacing w:line="560" w:lineRule="exact"/>
        <w:ind w:firstLine="600"/>
      </w:pPr>
      <w:r>
        <w:rPr>
          <w:rFonts w:ascii="仿宋" w:eastAsia="仿宋" w:hAnsi="仿宋" w:cs="仿宋"/>
          <w:color w:val="000000"/>
          <w:sz w:val="30"/>
        </w:rPr>
        <w:t>本单位2025年政府性基金预算支出情况表为空表</w:t>
      </w:r>
    </w:p>
    <w:p w14:paraId="15220206" w14:textId="77777777" w:rsidR="00A16DFA" w:rsidRDefault="007E7B1D">
      <w:pPr>
        <w:spacing w:line="560" w:lineRule="exact"/>
        <w:ind w:firstLine="600"/>
      </w:pPr>
      <w:r>
        <w:rPr>
          <w:rFonts w:ascii="仿宋" w:eastAsia="仿宋" w:hAnsi="仿宋" w:cs="仿宋"/>
          <w:color w:val="000000"/>
          <w:sz w:val="30"/>
        </w:rPr>
        <w:t>本单位2025年国有资本经营预算支出情况表为空表</w:t>
      </w:r>
    </w:p>
    <w:sectPr w:rsidR="00A16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B5C0F" w14:textId="77777777" w:rsidR="00E3557C" w:rsidRDefault="00E3557C" w:rsidP="00E3557C">
      <w:r>
        <w:separator/>
      </w:r>
    </w:p>
  </w:endnote>
  <w:endnote w:type="continuationSeparator" w:id="0">
    <w:p w14:paraId="61EF07B9" w14:textId="77777777" w:rsidR="00E3557C" w:rsidRDefault="00E3557C" w:rsidP="00E3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8D56" w14:textId="77777777" w:rsidR="00E3557C" w:rsidRDefault="00E3557C" w:rsidP="00E3557C">
      <w:r>
        <w:separator/>
      </w:r>
    </w:p>
  </w:footnote>
  <w:footnote w:type="continuationSeparator" w:id="0">
    <w:p w14:paraId="6FEFA1EA" w14:textId="77777777" w:rsidR="00E3557C" w:rsidRDefault="00E3557C" w:rsidP="00E35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DFA"/>
    <w:rsid w:val="005E4207"/>
    <w:rsid w:val="00644EF0"/>
    <w:rsid w:val="007477FB"/>
    <w:rsid w:val="007B45D2"/>
    <w:rsid w:val="007E7B1D"/>
    <w:rsid w:val="009A5E54"/>
    <w:rsid w:val="00A16DFA"/>
    <w:rsid w:val="00BD77B3"/>
    <w:rsid w:val="00BF7ED9"/>
    <w:rsid w:val="00E3557C"/>
    <w:rsid w:val="00FA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B51E"/>
  <w15:docId w15:val="{07AE1B30-2ED0-469E-8C01-585964DF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5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3557C"/>
    <w:rPr>
      <w:sz w:val="18"/>
      <w:szCs w:val="18"/>
    </w:rPr>
  </w:style>
  <w:style w:type="paragraph" w:styleId="a5">
    <w:name w:val="footer"/>
    <w:basedOn w:val="a"/>
    <w:link w:val="a6"/>
    <w:uiPriority w:val="99"/>
    <w:semiHidden/>
    <w:unhideWhenUsed/>
    <w:rsid w:val="00E3557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355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930</Words>
  <Characters>5305</Characters>
  <Application>Microsoft Office Word</Application>
  <DocSecurity>0</DocSecurity>
  <Lines>44</Lines>
  <Paragraphs>12</Paragraphs>
  <ScaleCrop>false</ScaleCrop>
  <Company>user</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10</cp:revision>
  <dcterms:created xsi:type="dcterms:W3CDTF">2025-03-19T05:40:00Z</dcterms:created>
  <dcterms:modified xsi:type="dcterms:W3CDTF">2025-03-26T06:04:00Z</dcterms:modified>
</cp:coreProperties>
</file>