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CA75" w14:textId="77777777" w:rsidR="00DF7DB0" w:rsidRDefault="00E57AB3">
      <w:pPr>
        <w:spacing w:line="2600" w:lineRule="exact"/>
        <w:jc w:val="center"/>
      </w:pPr>
      <w:r>
        <w:rPr>
          <w:rFonts w:ascii="FZXiaoBiaoSong-B05S" w:eastAsia="FZXiaoBiaoSong-B05S" w:hAnsi="FZXiaoBiaoSong-B05S" w:cs="FZXiaoBiaoSong-B05S"/>
          <w:b/>
          <w:color w:val="000000"/>
          <w:sz w:val="48"/>
        </w:rPr>
        <w:t>天津市西青区科学技术局</w:t>
      </w:r>
      <w:r>
        <w:rPr>
          <w:rFonts w:ascii="FZXiaoBiaoSong-B05S" w:eastAsia="FZXiaoBiaoSong-B05S" w:hAnsi="FZXiaoBiaoSong-B05S" w:cs="FZXiaoBiaoSong-B05S"/>
          <w:b/>
          <w:color w:val="000000"/>
          <w:sz w:val="48"/>
        </w:rPr>
        <w:br/>
        <w:t>2025年度部门预算公开</w:t>
      </w:r>
    </w:p>
    <w:p w14:paraId="471EAC11" w14:textId="77777777" w:rsidR="00DF7DB0" w:rsidRDefault="00E57AB3">
      <w:pPr>
        <w:pageBreakBefore/>
        <w:spacing w:line="560" w:lineRule="exact"/>
        <w:jc w:val="center"/>
      </w:pPr>
      <w:r>
        <w:rPr>
          <w:rFonts w:ascii="黑体" w:eastAsia="黑体" w:hAnsi="黑体" w:cs="黑体"/>
          <w:b/>
          <w:color w:val="000000"/>
          <w:sz w:val="44"/>
        </w:rPr>
        <w:lastRenderedPageBreak/>
        <w:t>目    录</w:t>
      </w:r>
    </w:p>
    <w:p w14:paraId="7EBBDF8A" w14:textId="77777777" w:rsidR="00DF7DB0" w:rsidRDefault="00E57AB3">
      <w:pPr>
        <w:spacing w:line="560" w:lineRule="exact"/>
        <w:ind w:firstLine="900"/>
      </w:pPr>
      <w:r>
        <w:rPr>
          <w:rFonts w:ascii="仿宋" w:eastAsia="仿宋" w:hAnsi="仿宋" w:cs="仿宋"/>
          <w:b/>
          <w:color w:val="000000"/>
          <w:sz w:val="30"/>
        </w:rPr>
        <w:t>第一部分  概况</w:t>
      </w:r>
    </w:p>
    <w:p w14:paraId="087BA965" w14:textId="77777777" w:rsidR="00DF7DB0" w:rsidRDefault="00E57AB3">
      <w:pPr>
        <w:spacing w:line="560" w:lineRule="exact"/>
        <w:ind w:firstLine="900"/>
      </w:pPr>
      <w:r>
        <w:rPr>
          <w:rFonts w:ascii="仿宋" w:eastAsia="仿宋" w:hAnsi="仿宋" w:cs="仿宋"/>
          <w:color w:val="000000"/>
          <w:sz w:val="30"/>
        </w:rPr>
        <w:t>一、主要职责</w:t>
      </w:r>
    </w:p>
    <w:p w14:paraId="0B1E4FB3" w14:textId="77777777" w:rsidR="00DF7DB0" w:rsidRDefault="00E57AB3">
      <w:pPr>
        <w:spacing w:line="560" w:lineRule="exact"/>
        <w:ind w:firstLine="900"/>
      </w:pPr>
      <w:r>
        <w:rPr>
          <w:rFonts w:ascii="仿宋" w:eastAsia="仿宋" w:hAnsi="仿宋" w:cs="仿宋"/>
          <w:color w:val="000000"/>
          <w:sz w:val="30"/>
        </w:rPr>
        <w:t>二、机构设置情况</w:t>
      </w:r>
    </w:p>
    <w:p w14:paraId="24E44EDC" w14:textId="77777777" w:rsidR="00DF7DB0" w:rsidRDefault="00E57AB3">
      <w:pPr>
        <w:spacing w:line="560" w:lineRule="exact"/>
        <w:ind w:firstLine="900"/>
      </w:pPr>
      <w:r>
        <w:rPr>
          <w:rFonts w:ascii="仿宋" w:eastAsia="仿宋" w:hAnsi="仿宋" w:cs="仿宋"/>
          <w:b/>
          <w:color w:val="000000"/>
          <w:sz w:val="30"/>
        </w:rPr>
        <w:t>第二部分  2025年部门情况说明</w:t>
      </w:r>
    </w:p>
    <w:p w14:paraId="65B216AD" w14:textId="77777777" w:rsidR="00DF7DB0" w:rsidRDefault="00E57AB3">
      <w:pPr>
        <w:spacing w:line="560" w:lineRule="exact"/>
        <w:ind w:firstLine="900"/>
      </w:pPr>
      <w:r>
        <w:rPr>
          <w:rFonts w:ascii="仿宋" w:eastAsia="仿宋" w:hAnsi="仿宋" w:cs="仿宋"/>
          <w:color w:val="000000"/>
          <w:sz w:val="30"/>
        </w:rPr>
        <w:t>一、关于收支总体情况表的说明</w:t>
      </w:r>
    </w:p>
    <w:p w14:paraId="7C1CD2FF" w14:textId="77777777" w:rsidR="00DF7DB0" w:rsidRDefault="00E57AB3">
      <w:pPr>
        <w:spacing w:line="560" w:lineRule="exact"/>
        <w:ind w:firstLine="900"/>
      </w:pPr>
      <w:r>
        <w:rPr>
          <w:rFonts w:ascii="仿宋" w:eastAsia="仿宋" w:hAnsi="仿宋" w:cs="仿宋"/>
          <w:color w:val="000000"/>
          <w:sz w:val="30"/>
        </w:rPr>
        <w:t>二、关于收入总体情况表的说明</w:t>
      </w:r>
    </w:p>
    <w:p w14:paraId="78D76CE8" w14:textId="77777777" w:rsidR="00DF7DB0" w:rsidRDefault="00E57AB3">
      <w:pPr>
        <w:spacing w:line="560" w:lineRule="exact"/>
        <w:ind w:firstLine="900"/>
      </w:pPr>
      <w:r>
        <w:rPr>
          <w:rFonts w:ascii="仿宋" w:eastAsia="仿宋" w:hAnsi="仿宋" w:cs="仿宋"/>
          <w:color w:val="000000"/>
          <w:sz w:val="30"/>
        </w:rPr>
        <w:t>三、关于支出总体情况表的说明</w:t>
      </w:r>
    </w:p>
    <w:p w14:paraId="7B79EC40" w14:textId="77777777" w:rsidR="00DF7DB0" w:rsidRDefault="00E57AB3">
      <w:pPr>
        <w:spacing w:line="560" w:lineRule="exact"/>
        <w:ind w:firstLine="900"/>
      </w:pPr>
      <w:r>
        <w:rPr>
          <w:rFonts w:ascii="仿宋" w:eastAsia="仿宋" w:hAnsi="仿宋" w:cs="仿宋"/>
          <w:color w:val="000000"/>
          <w:sz w:val="30"/>
        </w:rPr>
        <w:t>四、关于财政拨款收支总体情况表的说明</w:t>
      </w:r>
    </w:p>
    <w:p w14:paraId="0F6949B7" w14:textId="77777777" w:rsidR="00DF7DB0" w:rsidRDefault="00E57AB3">
      <w:pPr>
        <w:spacing w:line="560" w:lineRule="exact"/>
        <w:ind w:firstLine="900"/>
      </w:pPr>
      <w:r>
        <w:rPr>
          <w:rFonts w:ascii="仿宋" w:eastAsia="仿宋" w:hAnsi="仿宋" w:cs="仿宋"/>
          <w:color w:val="000000"/>
          <w:sz w:val="30"/>
        </w:rPr>
        <w:t>五、关于一般公共预算支出情况表的说明</w:t>
      </w:r>
    </w:p>
    <w:p w14:paraId="553DABB3" w14:textId="77777777" w:rsidR="00DF7DB0" w:rsidRDefault="00E57AB3">
      <w:pPr>
        <w:spacing w:line="560" w:lineRule="exact"/>
        <w:ind w:firstLine="900"/>
      </w:pPr>
      <w:r>
        <w:rPr>
          <w:rFonts w:ascii="仿宋" w:eastAsia="仿宋" w:hAnsi="仿宋" w:cs="仿宋"/>
          <w:color w:val="000000"/>
          <w:sz w:val="30"/>
        </w:rPr>
        <w:t>六、关于一般公共预算基本支出情况表的说明</w:t>
      </w:r>
    </w:p>
    <w:p w14:paraId="39F0D10A" w14:textId="77777777" w:rsidR="00DF7DB0" w:rsidRDefault="00E57AB3">
      <w:pPr>
        <w:spacing w:line="560" w:lineRule="exact"/>
        <w:ind w:firstLine="900"/>
      </w:pPr>
      <w:r>
        <w:rPr>
          <w:rFonts w:ascii="仿宋" w:eastAsia="仿宋" w:hAnsi="仿宋" w:cs="仿宋"/>
          <w:color w:val="000000"/>
          <w:sz w:val="30"/>
        </w:rPr>
        <w:t>七、关于一般公共预算“三公”经费支出情况表的说明</w:t>
      </w:r>
    </w:p>
    <w:p w14:paraId="66902C65" w14:textId="77777777" w:rsidR="00DF7DB0" w:rsidRDefault="00E57AB3">
      <w:pPr>
        <w:spacing w:line="560" w:lineRule="exact"/>
        <w:ind w:firstLine="900"/>
      </w:pPr>
      <w:r>
        <w:rPr>
          <w:rFonts w:ascii="仿宋" w:eastAsia="仿宋" w:hAnsi="仿宋" w:cs="仿宋"/>
          <w:color w:val="000000"/>
          <w:sz w:val="30"/>
        </w:rPr>
        <w:t>八、关于政府性基金预算支出情况表的说明</w:t>
      </w:r>
    </w:p>
    <w:p w14:paraId="44040EA2" w14:textId="77777777" w:rsidR="00DF7DB0" w:rsidRDefault="00E57AB3">
      <w:pPr>
        <w:spacing w:line="560" w:lineRule="exact"/>
        <w:ind w:firstLine="900"/>
      </w:pPr>
      <w:r>
        <w:rPr>
          <w:rFonts w:ascii="仿宋" w:eastAsia="仿宋" w:hAnsi="仿宋" w:cs="仿宋"/>
          <w:color w:val="000000"/>
          <w:sz w:val="30"/>
        </w:rPr>
        <w:t>九、关于国有资本经营预算支出情况表的说明</w:t>
      </w:r>
    </w:p>
    <w:p w14:paraId="6AB244ED" w14:textId="77777777" w:rsidR="00DF7DB0" w:rsidRDefault="00E57AB3">
      <w:pPr>
        <w:spacing w:line="560" w:lineRule="exact"/>
        <w:ind w:firstLine="900"/>
      </w:pPr>
      <w:r>
        <w:rPr>
          <w:rFonts w:ascii="仿宋" w:eastAsia="仿宋" w:hAnsi="仿宋" w:cs="仿宋"/>
          <w:color w:val="000000"/>
          <w:sz w:val="30"/>
        </w:rPr>
        <w:t>十、其他重要事项的情况说明</w:t>
      </w:r>
    </w:p>
    <w:p w14:paraId="540B1D66" w14:textId="77777777" w:rsidR="00DF7DB0" w:rsidRDefault="00E57AB3">
      <w:pPr>
        <w:spacing w:line="560" w:lineRule="exact"/>
        <w:ind w:firstLine="900"/>
      </w:pPr>
      <w:r>
        <w:rPr>
          <w:rFonts w:ascii="仿宋" w:eastAsia="仿宋" w:hAnsi="仿宋" w:cs="仿宋"/>
          <w:b/>
          <w:color w:val="000000"/>
          <w:sz w:val="30"/>
        </w:rPr>
        <w:t>第三部分  名词解释</w:t>
      </w:r>
    </w:p>
    <w:p w14:paraId="4973C212" w14:textId="77777777" w:rsidR="00DF7DB0" w:rsidRDefault="00E57AB3">
      <w:pPr>
        <w:spacing w:line="560" w:lineRule="exact"/>
        <w:ind w:firstLine="900"/>
      </w:pPr>
      <w:r>
        <w:rPr>
          <w:rFonts w:ascii="仿宋" w:eastAsia="仿宋" w:hAnsi="仿宋" w:cs="仿宋"/>
          <w:b/>
          <w:color w:val="000000"/>
          <w:sz w:val="30"/>
        </w:rPr>
        <w:t>第四部分  2025年部门预算表</w:t>
      </w:r>
    </w:p>
    <w:p w14:paraId="78E91B94" w14:textId="77777777" w:rsidR="00DF7DB0" w:rsidRDefault="00E57AB3">
      <w:pPr>
        <w:spacing w:line="560" w:lineRule="exact"/>
        <w:ind w:firstLine="900"/>
      </w:pPr>
      <w:r>
        <w:rPr>
          <w:rFonts w:ascii="仿宋" w:eastAsia="仿宋" w:hAnsi="仿宋" w:cs="仿宋"/>
          <w:color w:val="000000"/>
          <w:sz w:val="30"/>
        </w:rPr>
        <w:t>一、部门收支总体情况表</w:t>
      </w:r>
    </w:p>
    <w:p w14:paraId="21D40450" w14:textId="77777777" w:rsidR="00DF7DB0" w:rsidRDefault="00E57AB3">
      <w:pPr>
        <w:spacing w:line="560" w:lineRule="exact"/>
        <w:ind w:firstLine="900"/>
      </w:pPr>
      <w:r>
        <w:rPr>
          <w:rFonts w:ascii="仿宋" w:eastAsia="仿宋" w:hAnsi="仿宋" w:cs="仿宋"/>
          <w:color w:val="000000"/>
          <w:sz w:val="30"/>
        </w:rPr>
        <w:t>二、部门收入总体情况表</w:t>
      </w:r>
    </w:p>
    <w:p w14:paraId="5DB63B2A" w14:textId="77777777" w:rsidR="00DF7DB0" w:rsidRDefault="00E57AB3">
      <w:pPr>
        <w:spacing w:line="560" w:lineRule="exact"/>
        <w:ind w:firstLine="900"/>
      </w:pPr>
      <w:r>
        <w:rPr>
          <w:rFonts w:ascii="仿宋" w:eastAsia="仿宋" w:hAnsi="仿宋" w:cs="仿宋"/>
          <w:color w:val="000000"/>
          <w:sz w:val="30"/>
        </w:rPr>
        <w:t>三、部门支出总体情况表</w:t>
      </w:r>
    </w:p>
    <w:p w14:paraId="3308ACC0" w14:textId="77777777" w:rsidR="00DF7DB0" w:rsidRDefault="00E57AB3">
      <w:pPr>
        <w:spacing w:line="560" w:lineRule="exact"/>
        <w:ind w:firstLine="900"/>
      </w:pPr>
      <w:r>
        <w:rPr>
          <w:rFonts w:ascii="仿宋" w:eastAsia="仿宋" w:hAnsi="仿宋" w:cs="仿宋"/>
          <w:color w:val="000000"/>
          <w:sz w:val="30"/>
        </w:rPr>
        <w:t>四、财政拨款收支总体情况表</w:t>
      </w:r>
    </w:p>
    <w:p w14:paraId="6ED80A34" w14:textId="77777777" w:rsidR="00DF7DB0" w:rsidRDefault="00E57AB3">
      <w:pPr>
        <w:spacing w:line="560" w:lineRule="exact"/>
        <w:ind w:firstLine="900"/>
      </w:pPr>
      <w:r>
        <w:rPr>
          <w:rFonts w:ascii="仿宋" w:eastAsia="仿宋" w:hAnsi="仿宋" w:cs="仿宋"/>
          <w:color w:val="000000"/>
          <w:sz w:val="30"/>
        </w:rPr>
        <w:t>五、一般公共预算支出情况表</w:t>
      </w:r>
    </w:p>
    <w:p w14:paraId="710C5F87" w14:textId="77777777" w:rsidR="00DF7DB0" w:rsidRDefault="00E57AB3">
      <w:pPr>
        <w:spacing w:line="560" w:lineRule="exact"/>
        <w:ind w:firstLine="900"/>
      </w:pPr>
      <w:r>
        <w:rPr>
          <w:rFonts w:ascii="仿宋" w:eastAsia="仿宋" w:hAnsi="仿宋" w:cs="仿宋"/>
          <w:color w:val="000000"/>
          <w:sz w:val="30"/>
        </w:rPr>
        <w:t>六、一般公共预算基本支出情况表</w:t>
      </w:r>
    </w:p>
    <w:p w14:paraId="02B9BAF4" w14:textId="77777777" w:rsidR="00DF7DB0" w:rsidRDefault="00E57AB3">
      <w:pPr>
        <w:spacing w:line="560" w:lineRule="exact"/>
        <w:ind w:firstLine="900"/>
      </w:pPr>
      <w:r>
        <w:rPr>
          <w:rFonts w:ascii="仿宋" w:eastAsia="仿宋" w:hAnsi="仿宋" w:cs="仿宋"/>
          <w:color w:val="000000"/>
          <w:sz w:val="30"/>
        </w:rPr>
        <w:t>七、一般公共预算“三公”经费支出情况表</w:t>
      </w:r>
    </w:p>
    <w:p w14:paraId="2A45CE53" w14:textId="77777777" w:rsidR="00DF7DB0" w:rsidRDefault="00E57AB3">
      <w:pPr>
        <w:spacing w:line="560" w:lineRule="exact"/>
        <w:ind w:firstLine="900"/>
      </w:pPr>
      <w:r>
        <w:rPr>
          <w:rFonts w:ascii="仿宋" w:eastAsia="仿宋" w:hAnsi="仿宋" w:cs="仿宋"/>
          <w:color w:val="000000"/>
          <w:sz w:val="30"/>
        </w:rPr>
        <w:lastRenderedPageBreak/>
        <w:t>八、政府性基金预算支出情况表</w:t>
      </w:r>
    </w:p>
    <w:p w14:paraId="53091C06" w14:textId="77777777" w:rsidR="00DF7DB0" w:rsidRDefault="00E57AB3">
      <w:pPr>
        <w:spacing w:line="560" w:lineRule="exact"/>
        <w:ind w:firstLine="900"/>
      </w:pPr>
      <w:r>
        <w:rPr>
          <w:rFonts w:ascii="仿宋" w:eastAsia="仿宋" w:hAnsi="仿宋" w:cs="仿宋"/>
          <w:color w:val="000000"/>
          <w:sz w:val="30"/>
        </w:rPr>
        <w:t>九、国有资本经营预算支出情况表</w:t>
      </w:r>
    </w:p>
    <w:p w14:paraId="1F84E2CE" w14:textId="77777777" w:rsidR="00DF7DB0" w:rsidRDefault="00E57AB3">
      <w:pPr>
        <w:spacing w:line="560" w:lineRule="exact"/>
        <w:ind w:firstLine="900"/>
      </w:pPr>
      <w:r>
        <w:rPr>
          <w:rFonts w:ascii="仿宋" w:eastAsia="仿宋" w:hAnsi="仿宋" w:cs="仿宋"/>
          <w:color w:val="000000"/>
          <w:sz w:val="30"/>
        </w:rPr>
        <w:t>十、项目支出表</w:t>
      </w:r>
    </w:p>
    <w:p w14:paraId="47FDBD65" w14:textId="77777777" w:rsidR="00DF7DB0" w:rsidRDefault="00E57AB3">
      <w:pPr>
        <w:spacing w:line="560" w:lineRule="exact"/>
        <w:ind w:firstLine="900"/>
      </w:pPr>
      <w:r>
        <w:rPr>
          <w:rFonts w:ascii="仿宋" w:eastAsia="仿宋" w:hAnsi="仿宋" w:cs="仿宋"/>
          <w:color w:val="000000"/>
          <w:sz w:val="30"/>
        </w:rPr>
        <w:t>十一、关于空表的说明</w:t>
      </w:r>
    </w:p>
    <w:p w14:paraId="6C57AD3F" w14:textId="77777777" w:rsidR="00DF7DB0" w:rsidRDefault="00E57AB3">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7A9E36C1" w14:textId="77777777" w:rsidR="00DF7DB0" w:rsidRDefault="00E57AB3">
      <w:pPr>
        <w:spacing w:line="560" w:lineRule="exact"/>
        <w:ind w:firstLine="600"/>
      </w:pPr>
      <w:r>
        <w:rPr>
          <w:rFonts w:ascii="黑体" w:eastAsia="黑体" w:hAnsi="黑体" w:cs="黑体"/>
          <w:b/>
          <w:color w:val="353232"/>
          <w:sz w:val="30"/>
        </w:rPr>
        <w:t>一、主要职责</w:t>
      </w:r>
    </w:p>
    <w:p w14:paraId="2D11C2E9"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西青区科学技术局的主要工作职能是：</w:t>
      </w:r>
    </w:p>
    <w:p w14:paraId="527FE571"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（1）贯彻执行国家、市关于科技创新工作的法律、法规，研究起草区有关科技政策文件等，并组织实施。</w:t>
      </w:r>
    </w:p>
    <w:p w14:paraId="07831FAB"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（2）坚持创新驱动发展战略方针，拟订区科技发展规划和政策并组织实施，推动落实市科技局拟定的引进国外智力规划。研究确定全区科技发展布局和优先发展领域，支撑现代化经济体系建设。</w:t>
      </w:r>
    </w:p>
    <w:p w14:paraId="187D7841"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3）统筹推进全区创新体系建设和科技体制改革，会同有关部门健全技术创新激励机制。优化科研体系建设，负责指导企业和社会力量建立建设各类科技研发机构、服务机构和创新载体，推动企业科技创新能力建设。承担推进科技军民融合发展相关工作。负责国防科技信息动员工作。推进重大科技决策咨询制度建设。</w:t>
      </w:r>
    </w:p>
    <w:p w14:paraId="487F9C1C"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4）会同有关部门提出优化配置科技资源的政策措施建议。推动多元化科技投入体系建设，负责相关科技经费预决算及使用的监督管理，协调管理区级科技计划（专项）并监督实施。推动科技型企业发展。会同有关部门推进科技金融投融资体系建设，推动科技型企业融资工作。</w:t>
      </w:r>
    </w:p>
    <w:p w14:paraId="5DDF02A5"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（5）组织落实国家、市关于基础研究规划、政策和标准。组织协调基础研究和应用基础研究。推动科研保障建设和科技资源共享。</w:t>
      </w:r>
    </w:p>
    <w:p w14:paraId="41BBAAF9"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（6）实施重大科技项目，统筹关键共性技术、前沿引领技</w:t>
      </w:r>
      <w:r>
        <w:rPr>
          <w:rFonts w:ascii="仿宋" w:eastAsia="仿宋" w:hAnsi="仿宋" w:cs="仿宋"/>
          <w:color w:val="000000"/>
          <w:sz w:val="30"/>
        </w:rPr>
        <w:lastRenderedPageBreak/>
        <w:t>术、现代工程技术、颠覆性技术研发和创新，牵头组织重大技术攻关和成果应用示范。</w:t>
      </w:r>
    </w:p>
    <w:p w14:paraId="2C83F989"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（7）推动落实高新技术发展及产业化、科技促进农业农村和社会发展的规划、政策和措施。组织开展重点领域技术发展需求分析，提出重大任务并监督实施。</w:t>
      </w:r>
    </w:p>
    <w:p w14:paraId="42EC85E0"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（8）拟订科技成果转移转化和促进产学研结合的相关政策措施并监督实施。推动科技服务业、技术市场和科技中介组织发展；推动企业自主创新能力建设。</w:t>
      </w:r>
    </w:p>
    <w:p w14:paraId="1B75E143"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（9）统筹科技创新体系建设，指导区域创新发展、科技资源合理布局和协同创新能力建设，推动科技园区建设。</w:t>
      </w:r>
    </w:p>
    <w:p w14:paraId="25EB021C"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（10）负责组织申报国家和市级科技进步奖。</w:t>
      </w:r>
    </w:p>
    <w:p w14:paraId="597D3B13"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（11）统筹推进科研诚信建设。负责科技统计工作。负责科技保密工作。</w:t>
      </w:r>
    </w:p>
    <w:p w14:paraId="7BA1EAC9"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12）推动落实市科技局关于科技对外交往与创新能力开发合作的规划、政策和措施，推动落实市科技局关于国际科技合作与科技人才交流工作。推动落实市科技局关于引进国外智力工作。推动落实市科技局关于重点引进外国专家总体规划、计划，建立外国高端科学家、团队吸引集聚机制和重点外国专家联系服务机制。推动落实市科技局关于出国（境）培训政策和年度计划。</w:t>
      </w:r>
    </w:p>
    <w:p w14:paraId="28E34175"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（13）会同有关部门拟订科技人才队伍建设规划和政策，建立健全科技人才评价和激励机制，组织实施科技人才计划，推动高端科技创新人才队伍建设。拟订科学普及和科学传播规划、政策。</w:t>
      </w:r>
    </w:p>
    <w:p w14:paraId="1D10CDC8"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（14）组织推动科技领域招商引资工作。</w:t>
      </w:r>
    </w:p>
    <w:p w14:paraId="69212805"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（15）负责安全生产重大科技攻关、基础研究和应用研究的组织指导工作，推动安全生产科研成果的转化应用。负责本单位安全生产相关工作。</w:t>
      </w:r>
    </w:p>
    <w:p w14:paraId="7CD1DFD1"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（16）指导各街镇、西青开发区的科技工作；协调相关部门的科技工作。</w:t>
      </w:r>
    </w:p>
    <w:p w14:paraId="4C427E26"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（17）完成区委、区政府交办的其他事项</w:t>
      </w:r>
      <w:r w:rsidR="00E11F4B">
        <w:rPr>
          <w:rFonts w:ascii="仿宋" w:eastAsia="仿宋" w:hAnsi="仿宋" w:cs="仿宋" w:hint="eastAsia"/>
          <w:color w:val="000000"/>
          <w:sz w:val="30"/>
        </w:rPr>
        <w:t>。</w:t>
      </w:r>
    </w:p>
    <w:p w14:paraId="3B359915"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18）职能转变。围绕贯彻实施科教兴国战略、人才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落实科技人才评价机制，统筹科技人才队伍建设和引进国外智力工作。</w:t>
      </w:r>
    </w:p>
    <w:p w14:paraId="6758182B"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19）统筹负责天开高教科创园西青园发展建设工作。落实建设科技创新策源地、科研成果孵化器、科创服务生态圈要求，组织拟订天开高教科创园西青园总体发展战略、发展规划、产业规划、政策措施等，并协调落实。加强与天开高教科创园管委会、相关区沟通。</w:t>
      </w:r>
    </w:p>
    <w:p w14:paraId="52007FA4"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（20）参与编制天开高教科创园西青园有关空间规划，统筹生产生活生态空间，优化空间布局和基础设施建设。管理天开高教科创园西青园专项发展资金。统筹推进天开高教科创园</w:t>
      </w:r>
      <w:r>
        <w:rPr>
          <w:rFonts w:ascii="仿宋" w:eastAsia="仿宋" w:hAnsi="仿宋" w:cs="仿宋"/>
          <w:color w:val="000000"/>
          <w:sz w:val="30"/>
        </w:rPr>
        <w:lastRenderedPageBreak/>
        <w:t>西青园人才工作。开展天开高教科创园西青园发展考核评价工作、运行综合统计工作。</w:t>
      </w:r>
    </w:p>
    <w:p w14:paraId="627AB103"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21）开展天开高教科创园西青园创新创业、科研攻关、高新技术研发及其成果产业化等方面的促进和服务工作，坚持产教融合、科教融汇，培育战略性新兴产业、未来产业。协调相关部门单位，整合天开高教科创园西青园政务服务资源，优化营商环境。</w:t>
      </w:r>
    </w:p>
    <w:p w14:paraId="17C3E578" w14:textId="77777777" w:rsid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22）推动天天开高教科创园西青园招商引资、招才引智等工作。促进重要政策和重大项目、创新机构、高新企业等引进。推动天天开高教科创园西青园国际交流与合作。加强天开西青园国内合作交流，促进天开高教科创园西青园高校资源利用。统筹推动天开高教科创园西青园宣传、联络等工作。</w:t>
      </w:r>
    </w:p>
    <w:p w14:paraId="4F3E5085" w14:textId="28BDE340" w:rsidR="00DF7DB0" w:rsidRPr="00E11F4B" w:rsidRDefault="00E57AB3" w:rsidP="00E11F4B">
      <w:pPr>
        <w:spacing w:line="560" w:lineRule="exact"/>
        <w:ind w:firstLine="600"/>
        <w:rPr>
          <w:rFonts w:ascii="仿宋" w:eastAsia="仿宋" w:hAnsi="仿宋" w:cs="仿宋"/>
          <w:color w:val="000000"/>
          <w:sz w:val="30"/>
        </w:rPr>
      </w:pPr>
      <w:r>
        <w:rPr>
          <w:rFonts w:ascii="仿宋" w:eastAsia="仿宋" w:hAnsi="仿宋" w:cs="仿宋"/>
          <w:color w:val="000000"/>
          <w:sz w:val="30"/>
        </w:rPr>
        <w:t>西青区科学技术局下属事业单位西青区生产力促进中心，主要工作职能是：为区内企业提供科学技术服务，促进科技型企业发展。组织技术开发、技术转让、技术咨询、科技成果推广、相关信息发布、相关专业培 训、相关融资服务。</w:t>
      </w:r>
    </w:p>
    <w:p w14:paraId="24A3D636" w14:textId="77777777" w:rsidR="00DF7DB0" w:rsidRDefault="00E57AB3">
      <w:pPr>
        <w:spacing w:line="560" w:lineRule="exact"/>
        <w:ind w:firstLine="600"/>
      </w:pPr>
      <w:r>
        <w:rPr>
          <w:rFonts w:ascii="黑体" w:eastAsia="黑体" w:hAnsi="黑体" w:cs="黑体"/>
          <w:b/>
          <w:color w:val="000000"/>
          <w:sz w:val="30"/>
        </w:rPr>
        <w:t>二、机构设置情况</w:t>
      </w:r>
    </w:p>
    <w:p w14:paraId="3C5D8B91" w14:textId="77777777" w:rsidR="00DF7DB0" w:rsidRDefault="00E57AB3">
      <w:pPr>
        <w:spacing w:line="560" w:lineRule="exact"/>
        <w:ind w:firstLine="600"/>
      </w:pPr>
      <w:r>
        <w:rPr>
          <w:rFonts w:ascii="仿宋" w:eastAsia="仿宋" w:hAnsi="仿宋" w:cs="仿宋"/>
          <w:color w:val="000000"/>
          <w:sz w:val="30"/>
        </w:rPr>
        <w:t>天津市西青区科学技术局部门内设2个职能科室；下辖2个预算单位。</w:t>
      </w:r>
    </w:p>
    <w:p w14:paraId="6BC00B1F" w14:textId="77777777" w:rsidR="00DF7DB0" w:rsidRDefault="00E57AB3">
      <w:pPr>
        <w:spacing w:line="560" w:lineRule="exact"/>
        <w:ind w:firstLine="600"/>
      </w:pPr>
      <w:r>
        <w:rPr>
          <w:rFonts w:ascii="仿宋" w:eastAsia="仿宋" w:hAnsi="仿宋" w:cs="仿宋"/>
          <w:color w:val="000000"/>
          <w:sz w:val="30"/>
        </w:rPr>
        <w:t>纳入天津市西青区科学技术局部门2025年部门预算编制范围的预算单位包括：</w:t>
      </w:r>
    </w:p>
    <w:p w14:paraId="41778F1C" w14:textId="77777777" w:rsidR="00DF7DB0" w:rsidRDefault="00E57AB3">
      <w:pPr>
        <w:spacing w:line="560" w:lineRule="exact"/>
        <w:ind w:firstLine="600"/>
      </w:pPr>
      <w:r>
        <w:rPr>
          <w:rFonts w:ascii="仿宋" w:eastAsia="仿宋" w:hAnsi="仿宋" w:cs="仿宋"/>
          <w:color w:val="000000"/>
          <w:sz w:val="30"/>
        </w:rPr>
        <w:t>1.天津市西青区科学技术局</w:t>
      </w:r>
    </w:p>
    <w:p w14:paraId="22B9FFEA" w14:textId="77777777" w:rsidR="00DF7DB0" w:rsidRDefault="00E57AB3">
      <w:pPr>
        <w:spacing w:line="560" w:lineRule="exact"/>
        <w:ind w:firstLine="600"/>
      </w:pPr>
      <w:r>
        <w:rPr>
          <w:rFonts w:ascii="仿宋" w:eastAsia="仿宋" w:hAnsi="仿宋" w:cs="仿宋"/>
          <w:color w:val="000000"/>
          <w:sz w:val="30"/>
        </w:rPr>
        <w:t>2.天津市西青区生产力促进中心</w:t>
      </w:r>
    </w:p>
    <w:p w14:paraId="549B6635" w14:textId="77777777" w:rsidR="00DF7DB0" w:rsidRDefault="00E57AB3">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68ACF3EA" w14:textId="77777777" w:rsidR="00DF7DB0" w:rsidRDefault="00E57AB3">
      <w:pPr>
        <w:spacing w:line="560" w:lineRule="exact"/>
        <w:ind w:firstLine="600"/>
      </w:pPr>
      <w:r>
        <w:rPr>
          <w:rFonts w:ascii="黑体" w:eastAsia="黑体" w:hAnsi="黑体" w:cs="黑体"/>
          <w:b/>
          <w:color w:val="000000"/>
          <w:sz w:val="30"/>
        </w:rPr>
        <w:t>一、关于收支总体情况表的说明</w:t>
      </w:r>
    </w:p>
    <w:p w14:paraId="4E165117" w14:textId="77777777" w:rsidR="00DF7DB0" w:rsidRDefault="00E57AB3">
      <w:pPr>
        <w:spacing w:line="560" w:lineRule="exact"/>
        <w:ind w:firstLine="600"/>
      </w:pPr>
      <w:r>
        <w:rPr>
          <w:rFonts w:ascii="仿宋" w:eastAsia="仿宋" w:hAnsi="仿宋" w:cs="仿宋"/>
          <w:color w:val="000000"/>
          <w:sz w:val="30"/>
        </w:rPr>
        <w:t>按照综合预算的原则，天津市西青区科学技术局部门所有收入和支出均纳入部门预算管理。收入包括：一般公共预算拨款收入15,563.77万元、政府性基金预算拨款收入0万元、国有资本经营预算拨款收入0万元、财政专户管理资金收入0万元、事业收入0万元、事业单位经营收入0万元、上级补助收入0万元、附属单位上缴收入0万元、其他收入0万元、上年结转结余14,695.73万元；支出包括：教育支出0.23万元、科学技术支出30,169.08万元、社会保障和就业支出67.87万元、卫生健康支出22.32万元。天津市西青区科学技术局部门2025年收支总预算30,259.49万元。</w:t>
      </w:r>
    </w:p>
    <w:p w14:paraId="4931CD93" w14:textId="77777777" w:rsidR="00DF7DB0" w:rsidRDefault="00E57AB3">
      <w:pPr>
        <w:spacing w:line="560" w:lineRule="exact"/>
        <w:ind w:firstLine="600"/>
      </w:pPr>
      <w:r>
        <w:rPr>
          <w:rFonts w:ascii="黑体" w:eastAsia="黑体" w:hAnsi="黑体" w:cs="黑体"/>
          <w:b/>
          <w:color w:val="000000"/>
          <w:sz w:val="30"/>
        </w:rPr>
        <w:t>二、关于收入总体情况表的说明</w:t>
      </w:r>
    </w:p>
    <w:p w14:paraId="16A861AA" w14:textId="77777777" w:rsidR="00DF7DB0" w:rsidRDefault="00E57AB3">
      <w:pPr>
        <w:spacing w:line="560" w:lineRule="exact"/>
        <w:ind w:firstLine="600"/>
      </w:pPr>
      <w:r>
        <w:rPr>
          <w:rFonts w:ascii="仿宋" w:eastAsia="仿宋" w:hAnsi="仿宋" w:cs="仿宋"/>
          <w:color w:val="000000"/>
          <w:sz w:val="30"/>
        </w:rPr>
        <w:t>天津市西青区科学技术局部门2025年部门预算收入30,259.49万元，与上年预算相比减少8,110.59万元，主要原因是上年结转结余及本年度项目支出预算减少。其中：上年结转结余14,695.73万元，占48.57%；一般公共预算15,563.77万元，占51.43%；政府性基金预算0万元，占0%；国有资本经营预算0万元，占0%；财政专户管理资金0万元，占0%；事业收入0万元，占0%；事业单位经营收入0万元，占0%；上级补助收入0万元，占0%；附属单位上缴收入0万元，占0%；其他收入0万元，占0%。</w:t>
      </w:r>
    </w:p>
    <w:p w14:paraId="54B76164" w14:textId="77777777" w:rsidR="00DF7DB0" w:rsidRDefault="00E57AB3">
      <w:pPr>
        <w:spacing w:line="560" w:lineRule="exact"/>
        <w:ind w:firstLine="600"/>
      </w:pPr>
      <w:r>
        <w:rPr>
          <w:rFonts w:ascii="黑体" w:eastAsia="黑体" w:hAnsi="黑体" w:cs="黑体"/>
          <w:b/>
          <w:color w:val="000000"/>
          <w:sz w:val="30"/>
        </w:rPr>
        <w:t>三、关于支出总体情况表的说明</w:t>
      </w:r>
    </w:p>
    <w:p w14:paraId="1A2020BB" w14:textId="77777777" w:rsidR="00DF7DB0" w:rsidRDefault="00E57AB3">
      <w:pPr>
        <w:spacing w:line="560" w:lineRule="exact"/>
        <w:ind w:firstLine="600"/>
      </w:pPr>
      <w:r>
        <w:rPr>
          <w:rFonts w:ascii="仿宋" w:eastAsia="仿宋" w:hAnsi="仿宋" w:cs="仿宋"/>
          <w:color w:val="000000"/>
          <w:sz w:val="30"/>
        </w:rPr>
        <w:t>天津市西青区科学技术局部门2025年支出预算30,259.49</w:t>
      </w:r>
      <w:r>
        <w:rPr>
          <w:rFonts w:ascii="仿宋" w:eastAsia="仿宋" w:hAnsi="仿宋" w:cs="仿宋"/>
          <w:color w:val="000000"/>
          <w:sz w:val="30"/>
        </w:rPr>
        <w:lastRenderedPageBreak/>
        <w:t>万元，与上年预算相比减少8,110.59万元，主要原因是上年结转结余及本年度项目支出预算减少。其中：基本支出463.77万元，占1.53%；项目支出29,795.73万元，占98.47%；事业单位经营支出0万元，占0%；上缴上级支出0万元，占0%；对附属单位补助支出0万元，占0%。</w:t>
      </w:r>
    </w:p>
    <w:p w14:paraId="5D9472E2" w14:textId="77777777" w:rsidR="00DF7DB0" w:rsidRDefault="00E57AB3">
      <w:pPr>
        <w:spacing w:line="560" w:lineRule="exact"/>
        <w:ind w:firstLine="600"/>
      </w:pPr>
      <w:r>
        <w:rPr>
          <w:rFonts w:ascii="黑体" w:eastAsia="黑体" w:hAnsi="黑体" w:cs="黑体"/>
          <w:b/>
          <w:color w:val="000000"/>
          <w:sz w:val="30"/>
        </w:rPr>
        <w:t>四、关于财政拨款收支总体情况表的说明</w:t>
      </w:r>
    </w:p>
    <w:p w14:paraId="230836D9" w14:textId="77777777" w:rsidR="00DF7DB0" w:rsidRDefault="00E57AB3">
      <w:pPr>
        <w:spacing w:line="560" w:lineRule="exact"/>
        <w:ind w:firstLine="600"/>
      </w:pPr>
      <w:r>
        <w:rPr>
          <w:rFonts w:ascii="仿宋" w:eastAsia="仿宋" w:hAnsi="仿宋" w:cs="仿宋"/>
          <w:color w:val="000000"/>
          <w:sz w:val="30"/>
        </w:rPr>
        <w:t>天津市西青区科学技术局部门2025年财政拨款收入预算30,259.49万元，与上年预算相比减少8,110.59万元，主要原因是上年结转结余及本年度项目支出预算减少。收入包括：一般公共预算拨款收入15,563.77万元、政府性基金预算拨款收入0万元、上年财政结转结余14,695.73万元、国有资本经营预算拨款收入0万元、2025年财政拨款支出预算30,259.49万元，与上年预算相比减少8,110.59万元，主要原因是上年结转结余及本年度项目支出预算减少。支出包括：教育支出0.23万元 ；科学技术支出30,169.08万元 ；社会保障和就业支出67.87万元 ；卫生健康支出22.32万元。</w:t>
      </w:r>
    </w:p>
    <w:p w14:paraId="0D2CE825" w14:textId="77777777" w:rsidR="00DF7DB0" w:rsidRDefault="00E57AB3">
      <w:pPr>
        <w:spacing w:line="560" w:lineRule="exact"/>
        <w:ind w:firstLine="600"/>
      </w:pPr>
      <w:r>
        <w:rPr>
          <w:rFonts w:ascii="黑体" w:eastAsia="黑体" w:hAnsi="黑体" w:cs="黑体"/>
          <w:b/>
          <w:color w:val="000000"/>
          <w:sz w:val="30"/>
        </w:rPr>
        <w:t>五、关于一般公共预算支出情况表的说明</w:t>
      </w:r>
    </w:p>
    <w:p w14:paraId="0ED28798" w14:textId="77777777" w:rsidR="00DF7DB0" w:rsidRDefault="00E57AB3">
      <w:pPr>
        <w:spacing w:line="560" w:lineRule="exact"/>
        <w:ind w:firstLine="600"/>
      </w:pPr>
      <w:r>
        <w:rPr>
          <w:rFonts w:ascii="楷体" w:eastAsia="楷体" w:hAnsi="楷体" w:cs="楷体"/>
          <w:b/>
          <w:color w:val="000000"/>
          <w:sz w:val="30"/>
        </w:rPr>
        <w:t>（一）总体情况</w:t>
      </w:r>
    </w:p>
    <w:p w14:paraId="3DA895E1" w14:textId="77777777" w:rsidR="00DF7DB0" w:rsidRDefault="00E57AB3">
      <w:pPr>
        <w:spacing w:line="560" w:lineRule="exact"/>
        <w:ind w:firstLine="600"/>
      </w:pPr>
      <w:r>
        <w:rPr>
          <w:rFonts w:ascii="仿宋" w:eastAsia="仿宋" w:hAnsi="仿宋" w:cs="仿宋"/>
          <w:color w:val="000000"/>
          <w:sz w:val="30"/>
        </w:rPr>
        <w:t>天津市西青区科学技术局部门2025年一般公共预算支出30,259.49万元(上年38,370.08万元），与上年预算相比减少8,110.59万元，主要原因是上年结转结余及本年度项目支出预算减少。</w:t>
      </w:r>
    </w:p>
    <w:p w14:paraId="078AB368" w14:textId="77777777" w:rsidR="00DF7DB0" w:rsidRDefault="00E57AB3">
      <w:pPr>
        <w:spacing w:line="560" w:lineRule="exact"/>
        <w:ind w:firstLine="600"/>
      </w:pPr>
      <w:r>
        <w:rPr>
          <w:rFonts w:ascii="楷体" w:eastAsia="楷体" w:hAnsi="楷体" w:cs="楷体"/>
          <w:b/>
          <w:color w:val="000000"/>
          <w:sz w:val="30"/>
        </w:rPr>
        <w:t>（二）具体情况</w:t>
      </w:r>
    </w:p>
    <w:p w14:paraId="6F114803" w14:textId="77777777" w:rsidR="00DF7DB0" w:rsidRDefault="00E57AB3">
      <w:pPr>
        <w:spacing w:line="560" w:lineRule="exact"/>
        <w:ind w:firstLine="600"/>
      </w:pPr>
      <w:r>
        <w:rPr>
          <w:rFonts w:ascii="仿宋" w:eastAsia="仿宋" w:hAnsi="仿宋" w:cs="仿宋"/>
          <w:color w:val="000000"/>
          <w:sz w:val="30"/>
        </w:rPr>
        <w:t>1、“教育支出（类）”0.23万元，与上年预算相比增加</w:t>
      </w:r>
      <w:r>
        <w:rPr>
          <w:rFonts w:ascii="仿宋" w:eastAsia="仿宋" w:hAnsi="仿宋" w:cs="仿宋"/>
          <w:color w:val="000000"/>
          <w:sz w:val="30"/>
        </w:rPr>
        <w:lastRenderedPageBreak/>
        <w:t>0.01万元，主要原因是行政人员增加1人；其中：“进修及培训（款）”0.23万元，包括：“培训支出（项）”0.23万元，主要用于人员培训。</w:t>
      </w:r>
    </w:p>
    <w:p w14:paraId="050493E1" w14:textId="77777777" w:rsidR="00DF7DB0" w:rsidRDefault="00E57AB3">
      <w:pPr>
        <w:spacing w:line="560" w:lineRule="exact"/>
        <w:ind w:firstLine="600"/>
      </w:pPr>
      <w:r>
        <w:rPr>
          <w:rFonts w:ascii="仿宋" w:eastAsia="仿宋" w:hAnsi="仿宋" w:cs="仿宋"/>
          <w:color w:val="000000"/>
          <w:sz w:val="30"/>
        </w:rPr>
        <w:t>2、“科学技术支出（类）”30,169.08万元，与上年预算相比减少8,117.25万元，主要原因是上年结转结余及本年度项目支出预算减少。其中：“科学技术管理事务（款）”261.51万元，包括：“行政运行（科学技术管理事务）（项）”261.51万元，主要用于行政人员日常办公支出。</w:t>
      </w:r>
    </w:p>
    <w:p w14:paraId="1BA9CAB9" w14:textId="77777777" w:rsidR="00DF7DB0" w:rsidRDefault="00E57AB3">
      <w:pPr>
        <w:spacing w:line="560" w:lineRule="exact"/>
        <w:ind w:firstLine="600"/>
      </w:pPr>
      <w:r>
        <w:rPr>
          <w:rFonts w:ascii="仿宋" w:eastAsia="仿宋" w:hAnsi="仿宋" w:cs="仿宋"/>
          <w:color w:val="000000"/>
          <w:sz w:val="30"/>
        </w:rPr>
        <w:t>“基础研究（款）”100.00万元，包括：“科技人才队伍建设（项）”100.00万元，主要用于人才政策项目。</w:t>
      </w:r>
    </w:p>
    <w:p w14:paraId="5BD2E695" w14:textId="77777777" w:rsidR="00DF7DB0" w:rsidRDefault="00E57AB3">
      <w:pPr>
        <w:spacing w:line="560" w:lineRule="exact"/>
        <w:ind w:firstLine="600"/>
      </w:pPr>
      <w:r>
        <w:rPr>
          <w:rFonts w:ascii="仿宋" w:eastAsia="仿宋" w:hAnsi="仿宋" w:cs="仿宋"/>
          <w:color w:val="000000"/>
          <w:sz w:val="30"/>
        </w:rPr>
        <w:t>“技术研究与开发（款）”14,695.73万元，包括：“其他技术研究与开发支出（项）”14,695.73万元，主要用于市级科技政策项目。</w:t>
      </w:r>
    </w:p>
    <w:p w14:paraId="44E4D7FE" w14:textId="77777777" w:rsidR="00DF7DB0" w:rsidRDefault="00E57AB3">
      <w:pPr>
        <w:spacing w:line="560" w:lineRule="exact"/>
        <w:ind w:firstLine="600"/>
      </w:pPr>
      <w:r>
        <w:rPr>
          <w:rFonts w:ascii="仿宋" w:eastAsia="仿宋" w:hAnsi="仿宋" w:cs="仿宋"/>
          <w:color w:val="000000"/>
          <w:sz w:val="30"/>
        </w:rPr>
        <w:t>“其他科学技术支出（款）”15,111.84万元，包括：“其他科学技术支出（项）”15,111.84万元，主要用于天开西青园建设相关项目及事业单位工资福利等。</w:t>
      </w:r>
    </w:p>
    <w:p w14:paraId="1A3EFA66" w14:textId="77777777" w:rsidR="00DF7DB0" w:rsidRDefault="00E57AB3">
      <w:pPr>
        <w:spacing w:line="560" w:lineRule="exact"/>
        <w:ind w:firstLine="600"/>
      </w:pPr>
      <w:r>
        <w:rPr>
          <w:rFonts w:ascii="仿宋" w:eastAsia="仿宋" w:hAnsi="仿宋" w:cs="仿宋"/>
          <w:color w:val="000000"/>
          <w:sz w:val="30"/>
        </w:rPr>
        <w:t>3、“社会保障和就业支出（类）”67.87万元，与上年预算相比增加5.54万元，主要原因是人员增加1人及社保基数调整；其中：“行政事业单位养老支出（款）”67.87万元，包括：“行政单位离退休（项）”21.52万元，主要用于离退休人员津补贴；“事业单位离退休（项）”0.61万元，主要用于退休人员职务取暖补等补贴；“机关事业单位基本养老保险缴费支出（项）”30.49万元，主要用于缴纳养老保险；“机关事业单位职业年金缴费支出（项）”15.25万元，主要用于缴</w:t>
      </w:r>
      <w:r>
        <w:rPr>
          <w:rFonts w:ascii="仿宋" w:eastAsia="仿宋" w:hAnsi="仿宋" w:cs="仿宋"/>
          <w:color w:val="000000"/>
          <w:sz w:val="30"/>
        </w:rPr>
        <w:lastRenderedPageBreak/>
        <w:t>纳职业年金。</w:t>
      </w:r>
    </w:p>
    <w:p w14:paraId="7D18EDB2" w14:textId="77777777" w:rsidR="00DF7DB0" w:rsidRDefault="00E57AB3">
      <w:pPr>
        <w:spacing w:line="560" w:lineRule="exact"/>
        <w:ind w:firstLine="600"/>
      </w:pPr>
      <w:r>
        <w:rPr>
          <w:rFonts w:ascii="仿宋" w:eastAsia="仿宋" w:hAnsi="仿宋" w:cs="仿宋"/>
          <w:color w:val="000000"/>
          <w:sz w:val="30"/>
        </w:rPr>
        <w:t>4、“卫生健康支出（类）”22.32万元，与上年预算相比增加1.13万元，主要原因是人员增加1人；其中：“行政事业单位医疗（款）”22.32万元，包括：“行政单位医疗（项）”13.45万元，主要用于缴纳行政单位人员基本医疗保险；“事业单位医疗（项）”5.60万元，主要用于缴纳事业单位人员基本医疗保险；“公务员医疗补助（项）”2.69万元，主要用于公务员医疗补助；“其他行政事业单位医疗支出（项）”0.57万元，主要用于事业单位二次医疗保险。</w:t>
      </w:r>
    </w:p>
    <w:p w14:paraId="4063D347" w14:textId="77777777" w:rsidR="00DF7DB0" w:rsidRDefault="00E57AB3">
      <w:pPr>
        <w:spacing w:line="560" w:lineRule="exact"/>
        <w:ind w:firstLine="600"/>
      </w:pPr>
      <w:r>
        <w:rPr>
          <w:rFonts w:ascii="黑体" w:eastAsia="黑体" w:hAnsi="黑体" w:cs="黑体"/>
          <w:b/>
          <w:color w:val="000000"/>
          <w:sz w:val="30"/>
        </w:rPr>
        <w:t>六、关于一般公共预算基本支出情况表的说明</w:t>
      </w:r>
    </w:p>
    <w:p w14:paraId="50AD3052" w14:textId="77777777" w:rsidR="00DF7DB0" w:rsidRDefault="00E57AB3">
      <w:pPr>
        <w:spacing w:line="560" w:lineRule="exact"/>
        <w:ind w:firstLine="600"/>
      </w:pPr>
      <w:r>
        <w:rPr>
          <w:rFonts w:ascii="仿宋" w:eastAsia="仿宋" w:hAnsi="仿宋" w:cs="仿宋"/>
          <w:color w:val="000000"/>
          <w:sz w:val="30"/>
        </w:rPr>
        <w:t>天津市西青区科学技术局部门2025年一般公共预算基本支出 463.77万元，与上年预算相比增加50.20万元，主要原因是人员增加其中：人员经费 408.06万元，主要包括：基本工资、津贴补贴、奖金、绩效工资、机关事业单位基本养老保险缴费、职业年金缴费、职工基本医疗保险缴费、公务员医疗补助缴费、其他社会保障缴费、住房公积金、医疗费、其他工资福利支出、离休费、退休费、医疗费补助、奖励金、其他对个人和家庭的补助等；</w:t>
      </w:r>
    </w:p>
    <w:p w14:paraId="1F23985A" w14:textId="77777777" w:rsidR="00DF7DB0" w:rsidRDefault="00E57AB3">
      <w:pPr>
        <w:spacing w:line="560" w:lineRule="exact"/>
        <w:ind w:firstLine="600"/>
      </w:pPr>
      <w:r>
        <w:rPr>
          <w:rFonts w:ascii="仿宋" w:eastAsia="仿宋" w:hAnsi="仿宋" w:cs="仿宋"/>
          <w:color w:val="000000"/>
          <w:sz w:val="30"/>
        </w:rPr>
        <w:t>公用经费55.71万元，主要包括：办公费、手续费、水费、电费、邮电费、物业管理费、差旅费、维修（护）费、培训费、公务接待费、委托业务费、工会经费、福利费、其他交通费用、其他商品和服务支出、办公设备购置等。</w:t>
      </w:r>
    </w:p>
    <w:p w14:paraId="33987104" w14:textId="77777777" w:rsidR="00DF7DB0" w:rsidRDefault="00E57AB3">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2025年一般公共预算“三公”经费安排0.10万元，与2024年</w:t>
      </w:r>
      <w:r>
        <w:rPr>
          <w:rFonts w:ascii="仿宋" w:eastAsia="仿宋" w:hAnsi="仿宋" w:cs="仿宋"/>
          <w:color w:val="000000"/>
          <w:sz w:val="30"/>
        </w:rPr>
        <w:lastRenderedPageBreak/>
        <w:t>预算相比减少0.00万元，主要原因是无变化。</w:t>
      </w:r>
    </w:p>
    <w:p w14:paraId="7A346264" w14:textId="77777777" w:rsidR="00DF7DB0" w:rsidRDefault="00E57AB3">
      <w:pPr>
        <w:spacing w:line="560" w:lineRule="exact"/>
        <w:ind w:firstLine="600"/>
      </w:pPr>
      <w:r>
        <w:rPr>
          <w:rFonts w:ascii="仿宋" w:eastAsia="仿宋" w:hAnsi="仿宋" w:cs="仿宋"/>
          <w:color w:val="000000"/>
          <w:sz w:val="30"/>
        </w:rPr>
        <w:t>具体情况：</w:t>
      </w:r>
    </w:p>
    <w:p w14:paraId="46AFA285" w14:textId="77777777" w:rsidR="00DF7DB0" w:rsidRDefault="00E57AB3">
      <w:pPr>
        <w:spacing w:line="560" w:lineRule="exact"/>
        <w:ind w:firstLine="600"/>
      </w:pPr>
      <w:r>
        <w:rPr>
          <w:rFonts w:ascii="仿宋" w:eastAsia="仿宋" w:hAnsi="仿宋" w:cs="仿宋"/>
          <w:color w:val="000000"/>
          <w:sz w:val="30"/>
        </w:rPr>
        <w:t>一、2025年因公出国（境）费预算0万元，与2024年预算相比减少0.00万元，主要原因是无支出。</w:t>
      </w:r>
    </w:p>
    <w:p w14:paraId="5AFA9C76" w14:textId="77777777" w:rsidR="00DF7DB0" w:rsidRDefault="00E57AB3">
      <w:pPr>
        <w:spacing w:line="560" w:lineRule="exact"/>
        <w:ind w:firstLine="600"/>
      </w:pPr>
      <w:r>
        <w:rPr>
          <w:rFonts w:ascii="仿宋" w:eastAsia="仿宋" w:hAnsi="仿宋" w:cs="仿宋"/>
          <w:color w:val="000000"/>
          <w:sz w:val="30"/>
        </w:rPr>
        <w:t>二、2025年公务用车购置及运行费预算0万元，</w:t>
      </w:r>
    </w:p>
    <w:p w14:paraId="5B513408" w14:textId="77777777" w:rsidR="00DF7DB0" w:rsidRDefault="00E57AB3">
      <w:pPr>
        <w:spacing w:line="560" w:lineRule="exact"/>
        <w:ind w:firstLine="600"/>
      </w:pPr>
      <w:r>
        <w:rPr>
          <w:rFonts w:ascii="仿宋" w:eastAsia="仿宋" w:hAnsi="仿宋" w:cs="仿宋"/>
          <w:color w:val="000000"/>
          <w:sz w:val="30"/>
        </w:rPr>
        <w:t>其中公务用车运行费0万元，与2024年预算相比减少0万元，主要原因是无公务用车；公务用车购置费0万元，与2024年预算相比减少0万元，主要原因是无支出。</w:t>
      </w:r>
    </w:p>
    <w:p w14:paraId="5545F697" w14:textId="77777777" w:rsidR="00DF7DB0" w:rsidRDefault="00E57AB3">
      <w:pPr>
        <w:spacing w:line="560" w:lineRule="exact"/>
        <w:ind w:firstLine="600"/>
      </w:pPr>
      <w:r>
        <w:rPr>
          <w:rFonts w:ascii="仿宋" w:eastAsia="仿宋" w:hAnsi="仿宋" w:cs="仿宋"/>
          <w:color w:val="000000"/>
          <w:sz w:val="30"/>
        </w:rPr>
        <w:t>三、2025年公务接待费预算0.10万元，与2024年预算相比减少0万元，主要原因是无变化。</w:t>
      </w:r>
    </w:p>
    <w:p w14:paraId="7811D6F8" w14:textId="77777777" w:rsidR="00DF7DB0" w:rsidRDefault="00E57AB3">
      <w:pPr>
        <w:spacing w:line="560" w:lineRule="exact"/>
        <w:ind w:firstLine="600"/>
      </w:pPr>
      <w:r>
        <w:rPr>
          <w:rFonts w:ascii="黑体" w:eastAsia="黑体" w:hAnsi="黑体" w:cs="黑体"/>
          <w:b/>
          <w:color w:val="000000"/>
          <w:sz w:val="30"/>
        </w:rPr>
        <w:t>八、关于政府性基金预算支出情况表的说明</w:t>
      </w:r>
    </w:p>
    <w:p w14:paraId="5F70D94F" w14:textId="77777777" w:rsidR="00DF7DB0" w:rsidRDefault="00E57AB3">
      <w:pPr>
        <w:spacing w:line="560" w:lineRule="exact"/>
        <w:ind w:firstLine="600"/>
      </w:pPr>
      <w:r>
        <w:rPr>
          <w:rFonts w:ascii="仿宋" w:eastAsia="仿宋" w:hAnsi="仿宋" w:cs="仿宋"/>
          <w:color w:val="000000"/>
          <w:sz w:val="30"/>
        </w:rPr>
        <w:t>2025年天津市西青区科学技术局部门预算中没有使用政府性基金预算安排的支出。</w:t>
      </w:r>
    </w:p>
    <w:p w14:paraId="074D973A" w14:textId="77777777" w:rsidR="00DF7DB0" w:rsidRDefault="00E57AB3">
      <w:pPr>
        <w:spacing w:line="560" w:lineRule="exact"/>
        <w:ind w:firstLine="600"/>
      </w:pPr>
      <w:r>
        <w:rPr>
          <w:rFonts w:ascii="黑体" w:eastAsia="黑体" w:hAnsi="黑体" w:cs="黑体"/>
          <w:b/>
          <w:color w:val="000000"/>
          <w:sz w:val="30"/>
        </w:rPr>
        <w:t>九、关于国有资本经营预算支出情况表的说明</w:t>
      </w:r>
    </w:p>
    <w:p w14:paraId="46AF3249" w14:textId="77777777" w:rsidR="00DF7DB0" w:rsidRDefault="00E57AB3">
      <w:pPr>
        <w:spacing w:line="560" w:lineRule="exact"/>
        <w:ind w:firstLine="600"/>
      </w:pPr>
      <w:r>
        <w:rPr>
          <w:rFonts w:ascii="仿宋" w:eastAsia="仿宋" w:hAnsi="仿宋" w:cs="仿宋"/>
          <w:color w:val="000000"/>
          <w:sz w:val="30"/>
        </w:rPr>
        <w:t>2025</w:t>
      </w:r>
      <w:r w:rsidR="00835927">
        <w:rPr>
          <w:rFonts w:ascii="仿宋" w:eastAsia="仿宋" w:hAnsi="仿宋" w:cs="仿宋"/>
          <w:color w:val="000000"/>
          <w:sz w:val="30"/>
        </w:rPr>
        <w:t>年天津市西青区科学技术局部门预算中没有使用国有资本经营</w:t>
      </w:r>
      <w:r>
        <w:rPr>
          <w:rFonts w:ascii="仿宋" w:eastAsia="仿宋" w:hAnsi="仿宋" w:cs="仿宋"/>
          <w:color w:val="000000"/>
          <w:sz w:val="30"/>
        </w:rPr>
        <w:t>预算安排的支出。</w:t>
      </w:r>
    </w:p>
    <w:p w14:paraId="4A28E66C" w14:textId="77777777" w:rsidR="00DF7DB0" w:rsidRDefault="00E57AB3">
      <w:pPr>
        <w:spacing w:line="560" w:lineRule="exact"/>
        <w:ind w:firstLine="600"/>
      </w:pPr>
      <w:r>
        <w:rPr>
          <w:rFonts w:ascii="黑体" w:eastAsia="黑体" w:hAnsi="黑体" w:cs="黑体"/>
          <w:b/>
          <w:color w:val="000000"/>
          <w:sz w:val="30"/>
        </w:rPr>
        <w:t>十、其他重要事项的情况说明</w:t>
      </w:r>
    </w:p>
    <w:p w14:paraId="1E1C9727" w14:textId="77777777" w:rsidR="00DF7DB0" w:rsidRDefault="00E57AB3">
      <w:pPr>
        <w:spacing w:line="560" w:lineRule="exact"/>
        <w:ind w:firstLine="600"/>
      </w:pPr>
      <w:r>
        <w:rPr>
          <w:rFonts w:ascii="楷体" w:eastAsia="楷体" w:hAnsi="楷体" w:cs="楷体"/>
          <w:b/>
          <w:color w:val="000000"/>
          <w:sz w:val="30"/>
        </w:rPr>
        <w:t>（一）机关运行经费。</w:t>
      </w:r>
    </w:p>
    <w:p w14:paraId="49DF6572" w14:textId="77777777" w:rsidR="00DF7DB0" w:rsidRDefault="00E57AB3">
      <w:pPr>
        <w:spacing w:line="560" w:lineRule="exact"/>
        <w:ind w:firstLine="600"/>
      </w:pPr>
      <w:r>
        <w:rPr>
          <w:rFonts w:ascii="仿宋" w:eastAsia="仿宋" w:hAnsi="仿宋" w:cs="仿宋"/>
          <w:color w:val="000000"/>
          <w:sz w:val="30"/>
        </w:rPr>
        <w:t>本部门2025年天津市西青区科学技术局1家行政单位以及0家参公管理事业单位的机关运行经费预算41.87万元，包括办公费4.08万元、手续费0.13万元、水费0.66万元、电费0.99万元、邮电费0.66万元、物业管理费7.92万元、差旅费0.62万元、维修(护)费0.66万元、培训费0.11万元、公务接待费0.10万元、委托业务费2.40万元、工会经费3.34万元、</w:t>
      </w:r>
      <w:r>
        <w:rPr>
          <w:rFonts w:ascii="仿宋" w:eastAsia="仿宋" w:hAnsi="仿宋" w:cs="仿宋"/>
          <w:color w:val="000000"/>
          <w:sz w:val="30"/>
        </w:rPr>
        <w:lastRenderedPageBreak/>
        <w:t>福利费2.00万元、其他交通费用9.49万元、其他商品和服务支出7.66万元、办公设备购置1.05万元 。</w:t>
      </w:r>
    </w:p>
    <w:p w14:paraId="1A439BAF" w14:textId="77777777" w:rsidR="00DF7DB0" w:rsidRDefault="00E57AB3">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本部门2025年安排政府采购预算1.98万元，其中：政府采购货物支出1.98万元、政府采购工程支出0万元、政府采购服务支出0万元。主要项目是：计划采购复印纸、家具用具等。</w:t>
      </w:r>
    </w:p>
    <w:p w14:paraId="2EB8572D" w14:textId="77777777" w:rsidR="00DF7DB0" w:rsidRDefault="00E57AB3">
      <w:pPr>
        <w:spacing w:line="560" w:lineRule="exact"/>
        <w:ind w:firstLine="600"/>
      </w:pPr>
      <w:r>
        <w:rPr>
          <w:rFonts w:ascii="楷体" w:eastAsia="楷体" w:hAnsi="楷体" w:cs="楷体"/>
          <w:b/>
          <w:color w:val="000000"/>
          <w:sz w:val="30"/>
        </w:rPr>
        <w:t>（三）国有资产占用情况</w:t>
      </w:r>
    </w:p>
    <w:p w14:paraId="70F52193" w14:textId="77777777" w:rsidR="00DF7DB0" w:rsidRDefault="00E57AB3">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07160881" w14:textId="77777777" w:rsidR="00DF7DB0" w:rsidRDefault="00E57AB3">
      <w:pPr>
        <w:spacing w:line="560" w:lineRule="exact"/>
        <w:ind w:firstLine="600"/>
      </w:pPr>
      <w:r>
        <w:rPr>
          <w:rFonts w:ascii="楷体" w:eastAsia="楷体" w:hAnsi="楷体" w:cs="楷体"/>
          <w:b/>
          <w:color w:val="000000"/>
          <w:sz w:val="30"/>
        </w:rPr>
        <w:t>（四）预算绩效情况说明。</w:t>
      </w:r>
    </w:p>
    <w:p w14:paraId="7350F954" w14:textId="77777777" w:rsidR="00DF7DB0" w:rsidRDefault="00E57AB3">
      <w:pPr>
        <w:spacing w:line="560" w:lineRule="exact"/>
        <w:ind w:firstLine="600"/>
      </w:pPr>
      <w:r>
        <w:rPr>
          <w:rFonts w:ascii="仿宋" w:eastAsia="仿宋" w:hAnsi="仿宋" w:cs="仿宋"/>
          <w:color w:val="000000"/>
          <w:sz w:val="30"/>
        </w:rPr>
        <w:t>天津市西青区科学技术局部门2025年实行绩效目标管理的项目17个，涉及预算金额29795.73万元。</w:t>
      </w:r>
    </w:p>
    <w:p w14:paraId="0479FBC3" w14:textId="77777777" w:rsidR="00DF7DB0" w:rsidRDefault="00E57AB3">
      <w:pPr>
        <w:pageBreakBefore/>
        <w:spacing w:line="560" w:lineRule="exact"/>
        <w:jc w:val="center"/>
      </w:pPr>
      <w:r>
        <w:rPr>
          <w:rFonts w:ascii="黑体" w:eastAsia="黑体" w:hAnsi="黑体" w:cs="黑体"/>
          <w:b/>
          <w:color w:val="000000"/>
          <w:sz w:val="48"/>
        </w:rPr>
        <w:lastRenderedPageBreak/>
        <w:t>第三部分  名词解释</w:t>
      </w:r>
    </w:p>
    <w:p w14:paraId="56BC1F36" w14:textId="77777777" w:rsidR="00DF7DB0" w:rsidRDefault="00E57AB3">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A063D60" w14:textId="77777777" w:rsidR="00DF7DB0" w:rsidRDefault="00E57AB3">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C6D4ECA" w14:textId="77777777" w:rsidR="00DF7DB0" w:rsidRDefault="00E57AB3">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87456B9" w14:textId="77777777" w:rsidR="00DF7DB0" w:rsidRDefault="00E57AB3">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22FF204" w14:textId="77777777" w:rsidR="00DF7DB0" w:rsidRDefault="00E57AB3">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24645234" w14:textId="77777777" w:rsidR="00DF7DB0" w:rsidRDefault="00E57AB3">
      <w:pPr>
        <w:spacing w:line="560" w:lineRule="exact"/>
      </w:pPr>
      <w:r>
        <w:rPr>
          <w:rFonts w:ascii="楷体" w:eastAsia="楷体" w:hAnsi="楷体" w:cs="楷体"/>
          <w:b/>
          <w:color w:val="000000"/>
          <w:sz w:val="30"/>
        </w:rPr>
        <w:t>一、《部门收支总体情况表》</w:t>
      </w:r>
    </w:p>
    <w:p w14:paraId="37B26B0F" w14:textId="77777777" w:rsidR="00DF7DB0" w:rsidRDefault="00E57AB3">
      <w:pPr>
        <w:spacing w:line="560" w:lineRule="exact"/>
      </w:pPr>
      <w:r>
        <w:rPr>
          <w:rFonts w:ascii="楷体" w:eastAsia="楷体" w:hAnsi="楷体" w:cs="楷体"/>
          <w:b/>
          <w:color w:val="000000"/>
          <w:sz w:val="30"/>
        </w:rPr>
        <w:t>二、《部门收入总体情况表》</w:t>
      </w:r>
    </w:p>
    <w:p w14:paraId="52C1F3F1" w14:textId="77777777" w:rsidR="00DF7DB0" w:rsidRDefault="00E57AB3">
      <w:pPr>
        <w:spacing w:line="560" w:lineRule="exact"/>
      </w:pPr>
      <w:r>
        <w:rPr>
          <w:rFonts w:ascii="楷体" w:eastAsia="楷体" w:hAnsi="楷体" w:cs="楷体"/>
          <w:b/>
          <w:color w:val="000000"/>
          <w:sz w:val="30"/>
        </w:rPr>
        <w:t>三、《部门支出总体情况表》</w:t>
      </w:r>
    </w:p>
    <w:p w14:paraId="75B8480D" w14:textId="77777777" w:rsidR="00DF7DB0" w:rsidRDefault="00E57AB3">
      <w:pPr>
        <w:spacing w:line="560" w:lineRule="exact"/>
      </w:pPr>
      <w:r>
        <w:rPr>
          <w:rFonts w:ascii="楷体" w:eastAsia="楷体" w:hAnsi="楷体" w:cs="楷体"/>
          <w:b/>
          <w:color w:val="000000"/>
          <w:sz w:val="30"/>
        </w:rPr>
        <w:t>四、《财政拨款收支总体情况表》</w:t>
      </w:r>
    </w:p>
    <w:p w14:paraId="39B12351" w14:textId="77777777" w:rsidR="00DF7DB0" w:rsidRDefault="00E57AB3">
      <w:pPr>
        <w:spacing w:line="560" w:lineRule="exact"/>
      </w:pPr>
      <w:r>
        <w:rPr>
          <w:rFonts w:ascii="楷体" w:eastAsia="楷体" w:hAnsi="楷体" w:cs="楷体"/>
          <w:b/>
          <w:color w:val="000000"/>
          <w:sz w:val="30"/>
        </w:rPr>
        <w:t>五、《一般公共预算支出情况表》</w:t>
      </w:r>
    </w:p>
    <w:p w14:paraId="5BA4B95C" w14:textId="77777777" w:rsidR="00DF7DB0" w:rsidRDefault="00E57AB3">
      <w:pPr>
        <w:spacing w:line="560" w:lineRule="exact"/>
      </w:pPr>
      <w:r>
        <w:rPr>
          <w:rFonts w:ascii="楷体" w:eastAsia="楷体" w:hAnsi="楷体" w:cs="楷体"/>
          <w:b/>
          <w:color w:val="000000"/>
          <w:sz w:val="30"/>
        </w:rPr>
        <w:t>六、《一般公共预算基本支出情况表》</w:t>
      </w:r>
    </w:p>
    <w:p w14:paraId="5967DD94" w14:textId="77777777" w:rsidR="00DF7DB0" w:rsidRDefault="00E57AB3">
      <w:pPr>
        <w:spacing w:line="560" w:lineRule="exact"/>
      </w:pPr>
      <w:r>
        <w:rPr>
          <w:rFonts w:ascii="楷体" w:eastAsia="楷体" w:hAnsi="楷体" w:cs="楷体"/>
          <w:b/>
          <w:color w:val="000000"/>
          <w:sz w:val="30"/>
        </w:rPr>
        <w:t>七、《一般公共预算“三公”经费支出情况表》</w:t>
      </w:r>
    </w:p>
    <w:p w14:paraId="00AC6AD5" w14:textId="77777777" w:rsidR="00DF7DB0" w:rsidRDefault="00E57AB3">
      <w:pPr>
        <w:spacing w:line="560" w:lineRule="exact"/>
      </w:pPr>
      <w:r>
        <w:rPr>
          <w:rFonts w:ascii="楷体" w:eastAsia="楷体" w:hAnsi="楷体" w:cs="楷体"/>
          <w:b/>
          <w:color w:val="000000"/>
          <w:sz w:val="30"/>
        </w:rPr>
        <w:t>八、《政府性基金预算支出情况表》</w:t>
      </w:r>
    </w:p>
    <w:p w14:paraId="718B2EB7" w14:textId="77777777" w:rsidR="00DF7DB0" w:rsidRDefault="00E57AB3">
      <w:pPr>
        <w:spacing w:line="560" w:lineRule="exact"/>
      </w:pPr>
      <w:r>
        <w:rPr>
          <w:rFonts w:ascii="楷体" w:eastAsia="楷体" w:hAnsi="楷体" w:cs="楷体"/>
          <w:b/>
          <w:color w:val="000000"/>
          <w:sz w:val="30"/>
        </w:rPr>
        <w:t>九、《国有资本经营预算支出情况表》</w:t>
      </w:r>
    </w:p>
    <w:p w14:paraId="038C0B4F" w14:textId="77777777" w:rsidR="00DF7DB0" w:rsidRDefault="00E57AB3">
      <w:pPr>
        <w:spacing w:line="560" w:lineRule="exact"/>
      </w:pPr>
      <w:r>
        <w:rPr>
          <w:rFonts w:ascii="楷体" w:eastAsia="楷体" w:hAnsi="楷体" w:cs="楷体"/>
          <w:b/>
          <w:color w:val="000000"/>
          <w:sz w:val="30"/>
        </w:rPr>
        <w:t>十、《项目支出表》</w:t>
      </w:r>
    </w:p>
    <w:p w14:paraId="2E9A9936" w14:textId="77777777" w:rsidR="00DF7DB0" w:rsidRDefault="00E57AB3">
      <w:pPr>
        <w:spacing w:line="560" w:lineRule="exact"/>
      </w:pPr>
      <w:r>
        <w:rPr>
          <w:rFonts w:ascii="楷体" w:eastAsia="楷体" w:hAnsi="楷体" w:cs="楷体"/>
          <w:b/>
          <w:color w:val="000000"/>
          <w:sz w:val="30"/>
        </w:rPr>
        <w:t>十一、关于空表说明</w:t>
      </w:r>
    </w:p>
    <w:p w14:paraId="7BF47957" w14:textId="77777777" w:rsidR="00DF7DB0" w:rsidRDefault="00E57AB3">
      <w:pPr>
        <w:pageBreakBefore/>
        <w:spacing w:line="560" w:lineRule="exact"/>
      </w:pPr>
      <w:r>
        <w:rPr>
          <w:rFonts w:ascii="仿宋" w:eastAsia="仿宋" w:hAnsi="仿宋" w:cs="仿宋"/>
          <w:b/>
          <w:color w:val="000000"/>
          <w:sz w:val="30"/>
        </w:rPr>
        <w:lastRenderedPageBreak/>
        <w:t>十一、关于空表的说明</w:t>
      </w:r>
    </w:p>
    <w:p w14:paraId="6CDFFECE" w14:textId="77777777" w:rsidR="00DF7DB0" w:rsidRDefault="00E57AB3">
      <w:pPr>
        <w:spacing w:line="560" w:lineRule="exact"/>
        <w:ind w:firstLine="600"/>
      </w:pPr>
      <w:r>
        <w:rPr>
          <w:rFonts w:ascii="仿宋" w:eastAsia="仿宋" w:hAnsi="仿宋" w:cs="仿宋"/>
          <w:color w:val="000000"/>
          <w:sz w:val="30"/>
        </w:rPr>
        <w:t>本部门2025年政府性基金预算支出情况表为空表</w:t>
      </w:r>
    </w:p>
    <w:p w14:paraId="683F1CF2" w14:textId="77777777" w:rsidR="00DF7DB0" w:rsidRDefault="00E57AB3">
      <w:pPr>
        <w:spacing w:line="560" w:lineRule="exact"/>
        <w:ind w:firstLine="600"/>
      </w:pPr>
      <w:r>
        <w:rPr>
          <w:rFonts w:ascii="仿宋" w:eastAsia="仿宋" w:hAnsi="仿宋" w:cs="仿宋"/>
          <w:color w:val="000000"/>
          <w:sz w:val="30"/>
        </w:rPr>
        <w:t>本部门2025年国有资本经营预算支出情况表为空表</w:t>
      </w:r>
    </w:p>
    <w:sectPr w:rsidR="00DF7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F886" w14:textId="77777777" w:rsidR="00835927" w:rsidRDefault="00835927" w:rsidP="00835927">
      <w:r>
        <w:separator/>
      </w:r>
    </w:p>
  </w:endnote>
  <w:endnote w:type="continuationSeparator" w:id="0">
    <w:p w14:paraId="4DA3843B" w14:textId="77777777" w:rsidR="00835927" w:rsidRDefault="00835927" w:rsidP="0083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3768" w14:textId="77777777" w:rsidR="00835927" w:rsidRDefault="00835927" w:rsidP="00835927">
      <w:r>
        <w:separator/>
      </w:r>
    </w:p>
  </w:footnote>
  <w:footnote w:type="continuationSeparator" w:id="0">
    <w:p w14:paraId="717A0636" w14:textId="77777777" w:rsidR="00835927" w:rsidRDefault="00835927" w:rsidP="00835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7DB0"/>
    <w:rsid w:val="00086CD0"/>
    <w:rsid w:val="000929AB"/>
    <w:rsid w:val="00166A02"/>
    <w:rsid w:val="004B2A67"/>
    <w:rsid w:val="00835927"/>
    <w:rsid w:val="008D52F9"/>
    <w:rsid w:val="008F14A2"/>
    <w:rsid w:val="00B127F6"/>
    <w:rsid w:val="00DB2F04"/>
    <w:rsid w:val="00DF7DB0"/>
    <w:rsid w:val="00E105F2"/>
    <w:rsid w:val="00E11F4B"/>
    <w:rsid w:val="00E5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B639"/>
  <w15:docId w15:val="{BF92584C-0C88-499C-9F8B-4D1BC40D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5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35927"/>
    <w:rPr>
      <w:sz w:val="18"/>
      <w:szCs w:val="18"/>
    </w:rPr>
  </w:style>
  <w:style w:type="paragraph" w:styleId="a5">
    <w:name w:val="footer"/>
    <w:basedOn w:val="a"/>
    <w:link w:val="a6"/>
    <w:uiPriority w:val="99"/>
    <w:semiHidden/>
    <w:unhideWhenUsed/>
    <w:rsid w:val="0083592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359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974</Words>
  <Characters>5554</Characters>
  <Application>Microsoft Office Word</Application>
  <DocSecurity>0</DocSecurity>
  <Lines>46</Lines>
  <Paragraphs>13</Paragraphs>
  <ScaleCrop>false</ScaleCrop>
  <Company>user</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10</cp:revision>
  <dcterms:created xsi:type="dcterms:W3CDTF">2025-03-19T05:41:00Z</dcterms:created>
  <dcterms:modified xsi:type="dcterms:W3CDTF">2025-03-26T06:08:00Z</dcterms:modified>
</cp:coreProperties>
</file>