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11447" w14:textId="77777777" w:rsidR="00E95614" w:rsidRDefault="00086F3B">
      <w:pPr>
        <w:spacing w:line="2600" w:lineRule="exact"/>
        <w:jc w:val="center"/>
      </w:pPr>
      <w:r>
        <w:rPr>
          <w:rFonts w:ascii="FZXiaoBiaoSong-B05S" w:eastAsia="FZXiaoBiaoSong-B05S" w:hAnsi="FZXiaoBiaoSong-B05S" w:cs="FZXiaoBiaoSong-B05S"/>
          <w:b/>
          <w:color w:val="000000"/>
          <w:sz w:val="48"/>
        </w:rPr>
        <w:t>天津南站地区综合管理办公室</w:t>
      </w:r>
      <w:r>
        <w:rPr>
          <w:rFonts w:ascii="FZXiaoBiaoSong-B05S" w:eastAsia="FZXiaoBiaoSong-B05S" w:hAnsi="FZXiaoBiaoSong-B05S" w:cs="FZXiaoBiaoSong-B05S"/>
          <w:b/>
          <w:color w:val="000000"/>
          <w:sz w:val="48"/>
        </w:rPr>
        <w:br/>
        <w:t>2025年度单位预算公开</w:t>
      </w:r>
    </w:p>
    <w:p w14:paraId="5343C41B" w14:textId="77777777" w:rsidR="00E95614" w:rsidRDefault="00086F3B">
      <w:pPr>
        <w:pageBreakBefore/>
        <w:spacing w:line="560" w:lineRule="exact"/>
        <w:jc w:val="center"/>
      </w:pPr>
      <w:r>
        <w:rPr>
          <w:rFonts w:ascii="黑体" w:eastAsia="黑体" w:hAnsi="黑体" w:cs="黑体"/>
          <w:b/>
          <w:color w:val="000000"/>
          <w:sz w:val="44"/>
        </w:rPr>
        <w:lastRenderedPageBreak/>
        <w:t>目    录</w:t>
      </w:r>
    </w:p>
    <w:p w14:paraId="69C71141" w14:textId="77777777" w:rsidR="00E95614" w:rsidRDefault="00086F3B">
      <w:pPr>
        <w:spacing w:line="560" w:lineRule="exact"/>
        <w:ind w:firstLine="900"/>
      </w:pPr>
      <w:r>
        <w:rPr>
          <w:rFonts w:ascii="仿宋" w:eastAsia="仿宋" w:hAnsi="仿宋" w:cs="仿宋"/>
          <w:b/>
          <w:color w:val="000000"/>
          <w:sz w:val="30"/>
        </w:rPr>
        <w:t>第一部分  概况</w:t>
      </w:r>
    </w:p>
    <w:p w14:paraId="14EDD577" w14:textId="77777777" w:rsidR="00E95614" w:rsidRDefault="00086F3B">
      <w:pPr>
        <w:spacing w:line="560" w:lineRule="exact"/>
        <w:ind w:firstLine="900"/>
      </w:pPr>
      <w:r>
        <w:rPr>
          <w:rFonts w:ascii="仿宋" w:eastAsia="仿宋" w:hAnsi="仿宋" w:cs="仿宋"/>
          <w:color w:val="000000"/>
          <w:sz w:val="30"/>
        </w:rPr>
        <w:t>一、主要职责</w:t>
      </w:r>
    </w:p>
    <w:p w14:paraId="0322EA76" w14:textId="77777777" w:rsidR="00E95614" w:rsidRDefault="00086F3B">
      <w:pPr>
        <w:spacing w:line="560" w:lineRule="exact"/>
        <w:ind w:firstLine="900"/>
      </w:pPr>
      <w:r>
        <w:rPr>
          <w:rFonts w:ascii="仿宋" w:eastAsia="仿宋" w:hAnsi="仿宋" w:cs="仿宋"/>
          <w:color w:val="000000"/>
          <w:sz w:val="30"/>
        </w:rPr>
        <w:t>二、机构设置情况</w:t>
      </w:r>
    </w:p>
    <w:p w14:paraId="6D895521" w14:textId="77777777" w:rsidR="00E95614" w:rsidRDefault="00086F3B">
      <w:pPr>
        <w:spacing w:line="560" w:lineRule="exact"/>
        <w:ind w:firstLine="900"/>
      </w:pPr>
      <w:r>
        <w:rPr>
          <w:rFonts w:ascii="仿宋" w:eastAsia="仿宋" w:hAnsi="仿宋" w:cs="仿宋"/>
          <w:b/>
          <w:color w:val="000000"/>
          <w:sz w:val="30"/>
        </w:rPr>
        <w:t>第二部分  2025年单位情况说明</w:t>
      </w:r>
    </w:p>
    <w:p w14:paraId="4893CFE5" w14:textId="77777777" w:rsidR="00E95614" w:rsidRDefault="00086F3B">
      <w:pPr>
        <w:spacing w:line="560" w:lineRule="exact"/>
        <w:ind w:firstLine="900"/>
      </w:pPr>
      <w:r>
        <w:rPr>
          <w:rFonts w:ascii="仿宋" w:eastAsia="仿宋" w:hAnsi="仿宋" w:cs="仿宋"/>
          <w:color w:val="000000"/>
          <w:sz w:val="30"/>
        </w:rPr>
        <w:t>一、关于收支总体情况表的说明</w:t>
      </w:r>
    </w:p>
    <w:p w14:paraId="699B6D2A" w14:textId="77777777" w:rsidR="00E95614" w:rsidRDefault="00086F3B">
      <w:pPr>
        <w:spacing w:line="560" w:lineRule="exact"/>
        <w:ind w:firstLine="900"/>
      </w:pPr>
      <w:r>
        <w:rPr>
          <w:rFonts w:ascii="仿宋" w:eastAsia="仿宋" w:hAnsi="仿宋" w:cs="仿宋"/>
          <w:color w:val="000000"/>
          <w:sz w:val="30"/>
        </w:rPr>
        <w:t>二、关于收入总体情况表的说明</w:t>
      </w:r>
    </w:p>
    <w:p w14:paraId="0AB7D075" w14:textId="77777777" w:rsidR="00E95614" w:rsidRDefault="00086F3B">
      <w:pPr>
        <w:spacing w:line="560" w:lineRule="exact"/>
        <w:ind w:firstLine="900"/>
      </w:pPr>
      <w:r>
        <w:rPr>
          <w:rFonts w:ascii="仿宋" w:eastAsia="仿宋" w:hAnsi="仿宋" w:cs="仿宋"/>
          <w:color w:val="000000"/>
          <w:sz w:val="30"/>
        </w:rPr>
        <w:t>三、关于支出总体情况表的说明</w:t>
      </w:r>
    </w:p>
    <w:p w14:paraId="48C4D712" w14:textId="77777777" w:rsidR="00E95614" w:rsidRDefault="00086F3B">
      <w:pPr>
        <w:spacing w:line="560" w:lineRule="exact"/>
        <w:ind w:firstLine="900"/>
      </w:pPr>
      <w:r>
        <w:rPr>
          <w:rFonts w:ascii="仿宋" w:eastAsia="仿宋" w:hAnsi="仿宋" w:cs="仿宋"/>
          <w:color w:val="000000"/>
          <w:sz w:val="30"/>
        </w:rPr>
        <w:t>四、关于财政拨款收支总体情况表的说明</w:t>
      </w:r>
    </w:p>
    <w:p w14:paraId="427B9AB7" w14:textId="77777777" w:rsidR="00E95614" w:rsidRDefault="00086F3B">
      <w:pPr>
        <w:spacing w:line="560" w:lineRule="exact"/>
        <w:ind w:firstLine="900"/>
      </w:pPr>
      <w:r>
        <w:rPr>
          <w:rFonts w:ascii="仿宋" w:eastAsia="仿宋" w:hAnsi="仿宋" w:cs="仿宋"/>
          <w:color w:val="000000"/>
          <w:sz w:val="30"/>
        </w:rPr>
        <w:t>五、关于一般公共预算支出情况表的说明</w:t>
      </w:r>
    </w:p>
    <w:p w14:paraId="1AEB3BC5" w14:textId="77777777" w:rsidR="00E95614" w:rsidRDefault="00086F3B">
      <w:pPr>
        <w:spacing w:line="560" w:lineRule="exact"/>
        <w:ind w:firstLine="900"/>
      </w:pPr>
      <w:r>
        <w:rPr>
          <w:rFonts w:ascii="仿宋" w:eastAsia="仿宋" w:hAnsi="仿宋" w:cs="仿宋"/>
          <w:color w:val="000000"/>
          <w:sz w:val="30"/>
        </w:rPr>
        <w:t>六、关于一般公共预算基本支出情况表的说明</w:t>
      </w:r>
    </w:p>
    <w:p w14:paraId="4D60AD83" w14:textId="77777777" w:rsidR="00E95614" w:rsidRDefault="00086F3B">
      <w:pPr>
        <w:spacing w:line="560" w:lineRule="exact"/>
        <w:ind w:firstLine="900"/>
      </w:pPr>
      <w:r>
        <w:rPr>
          <w:rFonts w:ascii="仿宋" w:eastAsia="仿宋" w:hAnsi="仿宋" w:cs="仿宋"/>
          <w:color w:val="000000"/>
          <w:sz w:val="30"/>
        </w:rPr>
        <w:t>七、关于一般公共预算“三公”经费支出情况表的说明</w:t>
      </w:r>
    </w:p>
    <w:p w14:paraId="10ED563B" w14:textId="77777777" w:rsidR="00E95614" w:rsidRDefault="00086F3B">
      <w:pPr>
        <w:spacing w:line="560" w:lineRule="exact"/>
        <w:ind w:firstLine="900"/>
      </w:pPr>
      <w:r>
        <w:rPr>
          <w:rFonts w:ascii="仿宋" w:eastAsia="仿宋" w:hAnsi="仿宋" w:cs="仿宋"/>
          <w:color w:val="000000"/>
          <w:sz w:val="30"/>
        </w:rPr>
        <w:t>八、关于政府性基金预算支出情况表的说明</w:t>
      </w:r>
    </w:p>
    <w:p w14:paraId="7C11CE87" w14:textId="77777777" w:rsidR="00E95614" w:rsidRDefault="00086F3B">
      <w:pPr>
        <w:spacing w:line="560" w:lineRule="exact"/>
        <w:ind w:firstLine="900"/>
      </w:pPr>
      <w:r>
        <w:rPr>
          <w:rFonts w:ascii="仿宋" w:eastAsia="仿宋" w:hAnsi="仿宋" w:cs="仿宋"/>
          <w:color w:val="000000"/>
          <w:sz w:val="30"/>
        </w:rPr>
        <w:t>九、关于国有资本经营预算支出情况表的说明</w:t>
      </w:r>
    </w:p>
    <w:p w14:paraId="522CFA9E" w14:textId="77777777" w:rsidR="00E95614" w:rsidRDefault="00086F3B">
      <w:pPr>
        <w:spacing w:line="560" w:lineRule="exact"/>
        <w:ind w:firstLine="900"/>
      </w:pPr>
      <w:r>
        <w:rPr>
          <w:rFonts w:ascii="仿宋" w:eastAsia="仿宋" w:hAnsi="仿宋" w:cs="仿宋"/>
          <w:color w:val="000000"/>
          <w:sz w:val="30"/>
        </w:rPr>
        <w:t>十、其他重要事项的情况说明</w:t>
      </w:r>
    </w:p>
    <w:p w14:paraId="229756B1" w14:textId="77777777" w:rsidR="00E95614" w:rsidRDefault="00086F3B">
      <w:pPr>
        <w:spacing w:line="560" w:lineRule="exact"/>
        <w:ind w:firstLine="900"/>
      </w:pPr>
      <w:r>
        <w:rPr>
          <w:rFonts w:ascii="仿宋" w:eastAsia="仿宋" w:hAnsi="仿宋" w:cs="仿宋"/>
          <w:b/>
          <w:color w:val="000000"/>
          <w:sz w:val="30"/>
        </w:rPr>
        <w:t>第三部分  名词解释</w:t>
      </w:r>
    </w:p>
    <w:p w14:paraId="22E58F3B" w14:textId="77777777" w:rsidR="00E95614" w:rsidRDefault="00086F3B">
      <w:pPr>
        <w:spacing w:line="560" w:lineRule="exact"/>
        <w:ind w:firstLine="900"/>
      </w:pPr>
      <w:r>
        <w:rPr>
          <w:rFonts w:ascii="仿宋" w:eastAsia="仿宋" w:hAnsi="仿宋" w:cs="仿宋"/>
          <w:b/>
          <w:color w:val="000000"/>
          <w:sz w:val="30"/>
        </w:rPr>
        <w:t>第四部分  2025年单位预算表</w:t>
      </w:r>
    </w:p>
    <w:p w14:paraId="5BB4967C" w14:textId="77777777" w:rsidR="00E95614" w:rsidRDefault="00086F3B">
      <w:pPr>
        <w:spacing w:line="560" w:lineRule="exact"/>
        <w:ind w:firstLine="900"/>
      </w:pPr>
      <w:r>
        <w:rPr>
          <w:rFonts w:ascii="仿宋" w:eastAsia="仿宋" w:hAnsi="仿宋" w:cs="仿宋"/>
          <w:color w:val="000000"/>
          <w:sz w:val="30"/>
        </w:rPr>
        <w:t>一、部门收支总体情况表</w:t>
      </w:r>
    </w:p>
    <w:p w14:paraId="39FDFAE6" w14:textId="77777777" w:rsidR="00E95614" w:rsidRDefault="00086F3B">
      <w:pPr>
        <w:spacing w:line="560" w:lineRule="exact"/>
        <w:ind w:firstLine="900"/>
      </w:pPr>
      <w:r>
        <w:rPr>
          <w:rFonts w:ascii="仿宋" w:eastAsia="仿宋" w:hAnsi="仿宋" w:cs="仿宋"/>
          <w:color w:val="000000"/>
          <w:sz w:val="30"/>
        </w:rPr>
        <w:t>二、部门收入总体情况表</w:t>
      </w:r>
    </w:p>
    <w:p w14:paraId="5F8F19F3" w14:textId="77777777" w:rsidR="00E95614" w:rsidRDefault="00086F3B">
      <w:pPr>
        <w:spacing w:line="560" w:lineRule="exact"/>
        <w:ind w:firstLine="900"/>
      </w:pPr>
      <w:r>
        <w:rPr>
          <w:rFonts w:ascii="仿宋" w:eastAsia="仿宋" w:hAnsi="仿宋" w:cs="仿宋"/>
          <w:color w:val="000000"/>
          <w:sz w:val="30"/>
        </w:rPr>
        <w:t>三、部门支出总体情况表</w:t>
      </w:r>
    </w:p>
    <w:p w14:paraId="0FE37BA9" w14:textId="77777777" w:rsidR="00E95614" w:rsidRDefault="00086F3B">
      <w:pPr>
        <w:spacing w:line="560" w:lineRule="exact"/>
        <w:ind w:firstLine="900"/>
      </w:pPr>
      <w:r>
        <w:rPr>
          <w:rFonts w:ascii="仿宋" w:eastAsia="仿宋" w:hAnsi="仿宋" w:cs="仿宋"/>
          <w:color w:val="000000"/>
          <w:sz w:val="30"/>
        </w:rPr>
        <w:t>四、财政拨款收支总体情况表</w:t>
      </w:r>
    </w:p>
    <w:p w14:paraId="250BC9F4" w14:textId="77777777" w:rsidR="00E95614" w:rsidRDefault="00086F3B">
      <w:pPr>
        <w:spacing w:line="560" w:lineRule="exact"/>
        <w:ind w:firstLine="900"/>
      </w:pPr>
      <w:r>
        <w:rPr>
          <w:rFonts w:ascii="仿宋" w:eastAsia="仿宋" w:hAnsi="仿宋" w:cs="仿宋"/>
          <w:color w:val="000000"/>
          <w:sz w:val="30"/>
        </w:rPr>
        <w:t>五、一般公共预算支出情况表</w:t>
      </w:r>
    </w:p>
    <w:p w14:paraId="504F5B06" w14:textId="77777777" w:rsidR="00E95614" w:rsidRDefault="00086F3B">
      <w:pPr>
        <w:spacing w:line="560" w:lineRule="exact"/>
        <w:ind w:firstLine="900"/>
      </w:pPr>
      <w:r>
        <w:rPr>
          <w:rFonts w:ascii="仿宋" w:eastAsia="仿宋" w:hAnsi="仿宋" w:cs="仿宋"/>
          <w:color w:val="000000"/>
          <w:sz w:val="30"/>
        </w:rPr>
        <w:t>六、一般公共预算基本支出情况表</w:t>
      </w:r>
    </w:p>
    <w:p w14:paraId="0F63D6AA" w14:textId="77777777" w:rsidR="00E95614" w:rsidRDefault="00086F3B">
      <w:pPr>
        <w:spacing w:line="560" w:lineRule="exact"/>
        <w:ind w:firstLine="900"/>
      </w:pPr>
      <w:r>
        <w:rPr>
          <w:rFonts w:ascii="仿宋" w:eastAsia="仿宋" w:hAnsi="仿宋" w:cs="仿宋"/>
          <w:color w:val="000000"/>
          <w:sz w:val="30"/>
        </w:rPr>
        <w:t>七、一般公共预算“三公”经费支出情况表</w:t>
      </w:r>
    </w:p>
    <w:p w14:paraId="042EF74D" w14:textId="77777777" w:rsidR="00E95614" w:rsidRDefault="00086F3B">
      <w:pPr>
        <w:spacing w:line="560" w:lineRule="exact"/>
        <w:ind w:firstLine="900"/>
      </w:pPr>
      <w:r>
        <w:rPr>
          <w:rFonts w:ascii="仿宋" w:eastAsia="仿宋" w:hAnsi="仿宋" w:cs="仿宋"/>
          <w:color w:val="000000"/>
          <w:sz w:val="30"/>
        </w:rPr>
        <w:lastRenderedPageBreak/>
        <w:t>八、政府性基金预算支出情况表</w:t>
      </w:r>
    </w:p>
    <w:p w14:paraId="18D1F9A6" w14:textId="77777777" w:rsidR="00E95614" w:rsidRDefault="00086F3B">
      <w:pPr>
        <w:spacing w:line="560" w:lineRule="exact"/>
        <w:ind w:firstLine="900"/>
      </w:pPr>
      <w:r>
        <w:rPr>
          <w:rFonts w:ascii="仿宋" w:eastAsia="仿宋" w:hAnsi="仿宋" w:cs="仿宋"/>
          <w:color w:val="000000"/>
          <w:sz w:val="30"/>
        </w:rPr>
        <w:t>九、国有资本经营预算支出情况表</w:t>
      </w:r>
    </w:p>
    <w:p w14:paraId="4A632361" w14:textId="77777777" w:rsidR="00E95614" w:rsidRDefault="00086F3B">
      <w:pPr>
        <w:spacing w:line="560" w:lineRule="exact"/>
        <w:ind w:firstLine="900"/>
      </w:pPr>
      <w:r>
        <w:rPr>
          <w:rFonts w:ascii="仿宋" w:eastAsia="仿宋" w:hAnsi="仿宋" w:cs="仿宋"/>
          <w:color w:val="000000"/>
          <w:sz w:val="30"/>
        </w:rPr>
        <w:t>十、项目支出表</w:t>
      </w:r>
    </w:p>
    <w:p w14:paraId="5851246B" w14:textId="77777777" w:rsidR="00E95614" w:rsidRDefault="00086F3B">
      <w:pPr>
        <w:spacing w:line="560" w:lineRule="exact"/>
        <w:ind w:firstLine="900"/>
      </w:pPr>
      <w:r>
        <w:rPr>
          <w:rFonts w:ascii="仿宋" w:eastAsia="仿宋" w:hAnsi="仿宋" w:cs="仿宋"/>
          <w:color w:val="000000"/>
          <w:sz w:val="30"/>
        </w:rPr>
        <w:t>十一、关于空表的说明</w:t>
      </w:r>
    </w:p>
    <w:p w14:paraId="3BEEF117" w14:textId="77777777" w:rsidR="00E95614" w:rsidRDefault="00086F3B">
      <w:pPr>
        <w:pageBreakBefore/>
        <w:spacing w:line="560" w:lineRule="exact"/>
        <w:jc w:val="center"/>
      </w:pPr>
      <w:r>
        <w:rPr>
          <w:rFonts w:ascii="FZXiaoBiaoSong-B05S" w:eastAsia="FZXiaoBiaoSong-B05S" w:hAnsi="FZXiaoBiaoSong-B05S" w:cs="FZXiaoBiaoSong-B05S"/>
          <w:b/>
          <w:color w:val="000000"/>
          <w:sz w:val="48"/>
        </w:rPr>
        <w:lastRenderedPageBreak/>
        <w:t>第一部分 概况</w:t>
      </w:r>
    </w:p>
    <w:p w14:paraId="5F058117" w14:textId="77777777" w:rsidR="00051D95" w:rsidRDefault="00086F3B" w:rsidP="00051D95">
      <w:pPr>
        <w:spacing w:line="560" w:lineRule="exact"/>
        <w:ind w:firstLine="600"/>
        <w:rPr>
          <w:rFonts w:ascii="黑体" w:eastAsia="黑体" w:hAnsi="黑体" w:cs="黑体"/>
          <w:b/>
          <w:color w:val="353232"/>
          <w:sz w:val="30"/>
        </w:rPr>
      </w:pPr>
      <w:r>
        <w:rPr>
          <w:rFonts w:ascii="黑体" w:eastAsia="黑体" w:hAnsi="黑体" w:cs="黑体"/>
          <w:b/>
          <w:color w:val="353232"/>
          <w:sz w:val="30"/>
        </w:rPr>
        <w:t>一、主要职责</w:t>
      </w:r>
    </w:p>
    <w:p w14:paraId="4493A0B9" w14:textId="77777777" w:rsidR="00051D95" w:rsidRDefault="00086F3B" w:rsidP="00051D95">
      <w:pPr>
        <w:spacing w:line="560" w:lineRule="exact"/>
        <w:ind w:firstLine="600"/>
      </w:pPr>
      <w:r>
        <w:rPr>
          <w:rFonts w:ascii="仿宋" w:eastAsia="仿宋" w:hAnsi="仿宋" w:cs="仿宋"/>
          <w:color w:val="000000"/>
          <w:sz w:val="30"/>
        </w:rPr>
        <w:t>1.贯彻执行国家、市、区有关城市管理工作的法律、法</w:t>
      </w:r>
      <w:r w:rsidR="00BE0D70">
        <w:rPr>
          <w:rFonts w:ascii="仿宋" w:eastAsia="仿宋" w:hAnsi="仿宋" w:cs="仿宋"/>
          <w:color w:val="000000"/>
          <w:sz w:val="30"/>
        </w:rPr>
        <w:t>规和方针、政策，编制站区城市管理工作规划和年度计划，并组织实施</w:t>
      </w:r>
      <w:r w:rsidR="00BE0D70">
        <w:rPr>
          <w:rFonts w:ascii="仿宋" w:eastAsia="仿宋" w:hAnsi="仿宋" w:cs="仿宋" w:hint="eastAsia"/>
          <w:color w:val="000000"/>
          <w:sz w:val="30"/>
        </w:rPr>
        <w:t>。</w:t>
      </w:r>
    </w:p>
    <w:p w14:paraId="234D1F2A" w14:textId="77777777" w:rsidR="00051D95" w:rsidRDefault="00086F3B" w:rsidP="00051D95">
      <w:pPr>
        <w:spacing w:line="560" w:lineRule="exact"/>
        <w:ind w:firstLine="600"/>
      </w:pPr>
      <w:r>
        <w:rPr>
          <w:rFonts w:ascii="仿宋" w:eastAsia="仿宋" w:hAnsi="仿宋" w:cs="仿宋"/>
          <w:color w:val="000000"/>
          <w:sz w:val="30"/>
        </w:rPr>
        <w:t>2.负责站区的日常综合管理、协调工作。</w:t>
      </w:r>
    </w:p>
    <w:p w14:paraId="5BD2456E" w14:textId="77777777" w:rsidR="00C83259" w:rsidRDefault="00086F3B" w:rsidP="00C83259">
      <w:pPr>
        <w:spacing w:line="560" w:lineRule="exact"/>
        <w:ind w:firstLine="600"/>
        <w:rPr>
          <w:rFonts w:ascii="仿宋" w:eastAsia="仿宋" w:hAnsi="仿宋" w:cs="仿宋"/>
          <w:color w:val="000000"/>
          <w:sz w:val="30"/>
        </w:rPr>
      </w:pPr>
      <w:r>
        <w:rPr>
          <w:rFonts w:ascii="仿宋" w:eastAsia="仿宋" w:hAnsi="仿宋" w:cs="仿宋"/>
          <w:color w:val="000000"/>
          <w:sz w:val="30"/>
        </w:rPr>
        <w:t>3.行使《天津市城市管理相对集中行使处罚权规定》(2007年市人民政府令第111号)第四条规定的行政处罚权。</w:t>
      </w:r>
    </w:p>
    <w:p w14:paraId="5806E623" w14:textId="0CD17DC2" w:rsidR="00051D95" w:rsidRPr="00C83259" w:rsidRDefault="00086F3B" w:rsidP="00C83259">
      <w:pPr>
        <w:spacing w:line="560" w:lineRule="exact"/>
        <w:ind w:firstLine="600"/>
        <w:rPr>
          <w:rFonts w:ascii="仿宋" w:eastAsia="仿宋" w:hAnsi="仿宋" w:cs="仿宋"/>
          <w:color w:val="000000"/>
          <w:sz w:val="30"/>
        </w:rPr>
      </w:pPr>
      <w:r>
        <w:rPr>
          <w:rFonts w:ascii="仿宋" w:eastAsia="仿宋" w:hAnsi="仿宋" w:cs="仿宋"/>
          <w:color w:val="000000"/>
          <w:sz w:val="30"/>
        </w:rPr>
        <w:t>4.行使与站区综合管理相关的道路运输、公共交通环境保护、文化、卫生和新闻出版方面的行政处罚权。</w:t>
      </w:r>
    </w:p>
    <w:p w14:paraId="23C687DB" w14:textId="77777777" w:rsidR="00051D95" w:rsidRDefault="00086F3B" w:rsidP="00051D95">
      <w:pPr>
        <w:spacing w:line="560" w:lineRule="exact"/>
        <w:ind w:firstLine="600"/>
      </w:pPr>
      <w:r>
        <w:rPr>
          <w:rFonts w:ascii="仿宋" w:eastAsia="仿宋" w:hAnsi="仿宋" w:cs="仿宋"/>
          <w:color w:val="000000"/>
          <w:sz w:val="30"/>
        </w:rPr>
        <w:t>5.</w:t>
      </w:r>
      <w:r w:rsidR="00BE0D70">
        <w:rPr>
          <w:rFonts w:ascii="仿宋" w:eastAsia="仿宋" w:hAnsi="仿宋" w:cs="仿宋"/>
          <w:color w:val="000000"/>
          <w:sz w:val="30"/>
        </w:rPr>
        <w:t>拟订并具体实施站区应急预案</w:t>
      </w:r>
      <w:r w:rsidR="00BE0D70">
        <w:rPr>
          <w:rFonts w:ascii="仿宋" w:eastAsia="仿宋" w:hAnsi="仿宋" w:cs="仿宋" w:hint="eastAsia"/>
          <w:color w:val="000000"/>
          <w:sz w:val="30"/>
        </w:rPr>
        <w:t>。</w:t>
      </w:r>
    </w:p>
    <w:p w14:paraId="471E9A4C" w14:textId="77777777" w:rsidR="00051D95" w:rsidRDefault="00086F3B" w:rsidP="00051D95">
      <w:pPr>
        <w:spacing w:line="560" w:lineRule="exact"/>
        <w:ind w:firstLine="600"/>
      </w:pPr>
      <w:r>
        <w:rPr>
          <w:rFonts w:ascii="仿宋" w:eastAsia="仿宋" w:hAnsi="仿宋" w:cs="仿宋"/>
          <w:color w:val="000000"/>
          <w:sz w:val="30"/>
        </w:rPr>
        <w:t>6.负责监督站区附属公共基础设施的养护、维护运管和管理。</w:t>
      </w:r>
    </w:p>
    <w:p w14:paraId="642DD6EC" w14:textId="77777777" w:rsidR="00051D95" w:rsidRDefault="00086F3B" w:rsidP="00051D95">
      <w:pPr>
        <w:spacing w:line="560" w:lineRule="exact"/>
        <w:ind w:firstLine="600"/>
      </w:pPr>
      <w:r>
        <w:rPr>
          <w:rFonts w:ascii="仿宋" w:eastAsia="仿宋" w:hAnsi="仿宋" w:cs="仿宋"/>
          <w:color w:val="000000"/>
          <w:sz w:val="30"/>
        </w:rPr>
        <w:t>7.负责天津南站地区安全生产监督管理、工作督导等安全生产相关工作。</w:t>
      </w:r>
    </w:p>
    <w:p w14:paraId="4AF65771" w14:textId="77777777" w:rsidR="00051D95" w:rsidRDefault="00086F3B" w:rsidP="00051D95">
      <w:pPr>
        <w:spacing w:line="560" w:lineRule="exact"/>
        <w:ind w:firstLine="600"/>
      </w:pPr>
      <w:r>
        <w:rPr>
          <w:rFonts w:ascii="仿宋" w:eastAsia="仿宋" w:hAnsi="仿宋" w:cs="仿宋"/>
          <w:color w:val="000000"/>
          <w:sz w:val="30"/>
        </w:rPr>
        <w:t>8.在统计活动中，严格遵守《中华人民共和国统计法》、《中华人民共和国统计法实施条例》和各项统计调查制度，坚决防范和惩治统计造假、弄虚作假。</w:t>
      </w:r>
    </w:p>
    <w:p w14:paraId="7B35F3E2" w14:textId="4F249F0B" w:rsidR="00E95614" w:rsidRDefault="00086F3B" w:rsidP="00051D95">
      <w:pPr>
        <w:spacing w:line="560" w:lineRule="exact"/>
        <w:ind w:firstLine="600"/>
      </w:pPr>
      <w:r>
        <w:rPr>
          <w:rFonts w:ascii="仿宋" w:eastAsia="仿宋" w:hAnsi="仿宋" w:cs="仿宋"/>
          <w:color w:val="000000"/>
          <w:sz w:val="30"/>
        </w:rPr>
        <w:t>9.承办区政府交办的其他工作。</w:t>
      </w:r>
    </w:p>
    <w:p w14:paraId="5FDA2A19" w14:textId="77777777" w:rsidR="00E95614" w:rsidRDefault="00086F3B">
      <w:pPr>
        <w:spacing w:line="560" w:lineRule="exact"/>
        <w:ind w:firstLine="600"/>
      </w:pPr>
      <w:r>
        <w:rPr>
          <w:rFonts w:ascii="黑体" w:eastAsia="黑体" w:hAnsi="黑体" w:cs="黑体"/>
          <w:b/>
          <w:color w:val="000000"/>
          <w:sz w:val="30"/>
        </w:rPr>
        <w:t>二、机构设置情况</w:t>
      </w:r>
    </w:p>
    <w:p w14:paraId="4F8DEACE" w14:textId="77777777" w:rsidR="00E95614" w:rsidRDefault="00086F3B">
      <w:pPr>
        <w:spacing w:line="560" w:lineRule="exact"/>
        <w:ind w:firstLine="600"/>
      </w:pPr>
      <w:r>
        <w:rPr>
          <w:rFonts w:ascii="仿宋" w:eastAsia="仿宋" w:hAnsi="仿宋" w:cs="仿宋"/>
          <w:color w:val="000000"/>
          <w:sz w:val="30"/>
        </w:rPr>
        <w:t>天津南站地区综合管理办公室部门内设7个职能科室；下辖1个预算单位。</w:t>
      </w:r>
    </w:p>
    <w:p w14:paraId="1275C5FE" w14:textId="77777777" w:rsidR="00E95614" w:rsidRDefault="00086F3B">
      <w:pPr>
        <w:spacing w:line="560" w:lineRule="exact"/>
        <w:ind w:firstLine="600"/>
      </w:pPr>
      <w:r>
        <w:rPr>
          <w:rFonts w:ascii="仿宋" w:eastAsia="仿宋" w:hAnsi="仿宋" w:cs="仿宋"/>
          <w:color w:val="000000"/>
          <w:sz w:val="30"/>
        </w:rPr>
        <w:t>纳入天津南站地区综合管理办公室单位2025年部门预算编制范围的预算单位包括：</w:t>
      </w:r>
    </w:p>
    <w:p w14:paraId="4B395CFE" w14:textId="77777777" w:rsidR="00E95614" w:rsidRDefault="00086F3B">
      <w:pPr>
        <w:spacing w:line="560" w:lineRule="exact"/>
        <w:ind w:firstLine="600"/>
      </w:pPr>
      <w:r>
        <w:rPr>
          <w:rFonts w:ascii="仿宋" w:eastAsia="仿宋" w:hAnsi="仿宋" w:cs="仿宋"/>
          <w:color w:val="000000"/>
          <w:sz w:val="30"/>
        </w:rPr>
        <w:lastRenderedPageBreak/>
        <w:t>1.天津南站地区综合管理办公室</w:t>
      </w:r>
    </w:p>
    <w:p w14:paraId="72B14D31" w14:textId="77777777" w:rsidR="00E95614" w:rsidRDefault="00086F3B">
      <w:pPr>
        <w:pageBreakBefore/>
        <w:spacing w:line="560" w:lineRule="exact"/>
        <w:jc w:val="center"/>
      </w:pPr>
      <w:r>
        <w:rPr>
          <w:rFonts w:ascii="FZXiaoBiaoSong-B05S" w:eastAsia="FZXiaoBiaoSong-B05S" w:hAnsi="FZXiaoBiaoSong-B05S" w:cs="FZXiaoBiaoSong-B05S"/>
          <w:b/>
          <w:color w:val="000000"/>
          <w:sz w:val="48"/>
        </w:rPr>
        <w:lastRenderedPageBreak/>
        <w:t>第二部分  2025年度单位预算情况说明</w:t>
      </w:r>
    </w:p>
    <w:p w14:paraId="16EB579A" w14:textId="77777777" w:rsidR="00E95614" w:rsidRDefault="00086F3B">
      <w:pPr>
        <w:spacing w:line="560" w:lineRule="exact"/>
        <w:ind w:firstLine="600"/>
      </w:pPr>
      <w:r>
        <w:rPr>
          <w:rFonts w:ascii="黑体" w:eastAsia="黑体" w:hAnsi="黑体" w:cs="黑体"/>
          <w:b/>
          <w:color w:val="000000"/>
          <w:sz w:val="30"/>
        </w:rPr>
        <w:t>一、关于收支总体情况表的说明</w:t>
      </w:r>
    </w:p>
    <w:p w14:paraId="5D8C59BA" w14:textId="77777777" w:rsidR="00E95614" w:rsidRDefault="00086F3B">
      <w:pPr>
        <w:spacing w:line="560" w:lineRule="exact"/>
        <w:ind w:firstLine="600"/>
      </w:pPr>
      <w:r>
        <w:rPr>
          <w:rFonts w:ascii="仿宋" w:eastAsia="仿宋" w:hAnsi="仿宋" w:cs="仿宋"/>
          <w:color w:val="000000"/>
          <w:sz w:val="30"/>
        </w:rPr>
        <w:t>按照综合预算的原则，天津南站地区综合管理办公室单位所有收入和支出均纳入部门预算管理。收入包括：一般公共预算拨款收入2,396.25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教育支出0.81万元、社会保障和就业支出174.77万元、一般公共服务支出2,136.79万元、卫生健康支出83.88万元。天津南站地区综合管理办公室单位2025年收支总预算2,396.25万元。</w:t>
      </w:r>
    </w:p>
    <w:p w14:paraId="6C5B29E8" w14:textId="77777777" w:rsidR="00E95614" w:rsidRDefault="00086F3B">
      <w:pPr>
        <w:spacing w:line="560" w:lineRule="exact"/>
        <w:ind w:firstLine="600"/>
      </w:pPr>
      <w:r>
        <w:rPr>
          <w:rFonts w:ascii="黑体" w:eastAsia="黑体" w:hAnsi="黑体" w:cs="黑体"/>
          <w:b/>
          <w:color w:val="000000"/>
          <w:sz w:val="30"/>
        </w:rPr>
        <w:t>二、关于收入总体情况表的说明</w:t>
      </w:r>
    </w:p>
    <w:p w14:paraId="0063945C" w14:textId="77777777" w:rsidR="00E95614" w:rsidRDefault="00086F3B">
      <w:pPr>
        <w:spacing w:line="560" w:lineRule="exact"/>
        <w:ind w:firstLine="600"/>
      </w:pPr>
      <w:r>
        <w:rPr>
          <w:rFonts w:ascii="仿宋" w:eastAsia="仿宋" w:hAnsi="仿宋" w:cs="仿宋"/>
          <w:color w:val="000000"/>
          <w:sz w:val="30"/>
        </w:rPr>
        <w:t>天津南站地区综合管理办公室单位2025年部门预算收入2,396.25万元，与上年预算相比增加310.17万元，主要原因是年初安排项目预算较上年年初有所增加。其中：上年结转结余0万元，占0%；一般公共预算2,396.25万元，占100.00%；政府性基金预算0万元，占0%；国有资本经营预算0万元，占0%；财政专户管理资金0万元，占0%；事业收入0万元，占0%；事业单位经营收入0万元，占0%；上级补助收入0万元，占0%；附属单位上缴收入0万元，占0%；其他收入0万元，占0%。</w:t>
      </w:r>
    </w:p>
    <w:p w14:paraId="073F3044" w14:textId="77777777" w:rsidR="00E95614" w:rsidRDefault="00086F3B">
      <w:pPr>
        <w:spacing w:line="560" w:lineRule="exact"/>
        <w:ind w:firstLine="600"/>
      </w:pPr>
      <w:r>
        <w:rPr>
          <w:rFonts w:ascii="黑体" w:eastAsia="黑体" w:hAnsi="黑体" w:cs="黑体"/>
          <w:b/>
          <w:color w:val="000000"/>
          <w:sz w:val="30"/>
        </w:rPr>
        <w:t>三、关于支出总体情况表的说明</w:t>
      </w:r>
    </w:p>
    <w:p w14:paraId="1E2B65F1" w14:textId="77777777" w:rsidR="00E95614" w:rsidRDefault="00086F3B">
      <w:pPr>
        <w:spacing w:line="560" w:lineRule="exact"/>
        <w:ind w:firstLine="600"/>
      </w:pPr>
      <w:r>
        <w:rPr>
          <w:rFonts w:ascii="仿宋" w:eastAsia="仿宋" w:hAnsi="仿宋" w:cs="仿宋"/>
          <w:color w:val="000000"/>
          <w:sz w:val="30"/>
        </w:rPr>
        <w:t>天津南站地区综合管理办公室单位2025年支出预算2,396.25万元，与上年预算相比增加310.17万元，主要原因</w:t>
      </w:r>
      <w:r>
        <w:rPr>
          <w:rFonts w:ascii="仿宋" w:eastAsia="仿宋" w:hAnsi="仿宋" w:cs="仿宋"/>
          <w:color w:val="000000"/>
          <w:sz w:val="30"/>
        </w:rPr>
        <w:lastRenderedPageBreak/>
        <w:t>是年初安排项目预算较上年年初有所增加。其中：基本支出2,112.88万元，占88.17%；项目支出283.37万元，占11.83%；事业单位经营支出0万元，占0%；上缴上级支出0万元，占0%；对附属单位补助支出0万元，占0%。</w:t>
      </w:r>
    </w:p>
    <w:p w14:paraId="01F28A1D" w14:textId="77777777" w:rsidR="00E95614" w:rsidRDefault="00086F3B">
      <w:pPr>
        <w:spacing w:line="560" w:lineRule="exact"/>
        <w:ind w:firstLine="600"/>
      </w:pPr>
      <w:r>
        <w:rPr>
          <w:rFonts w:ascii="黑体" w:eastAsia="黑体" w:hAnsi="黑体" w:cs="黑体"/>
          <w:b/>
          <w:color w:val="000000"/>
          <w:sz w:val="30"/>
        </w:rPr>
        <w:t>四、关于财政拨款收支总体情况表的说明</w:t>
      </w:r>
    </w:p>
    <w:p w14:paraId="50A92E46" w14:textId="77777777" w:rsidR="00E95614" w:rsidRDefault="00086F3B">
      <w:pPr>
        <w:spacing w:line="560" w:lineRule="exact"/>
        <w:ind w:firstLine="600"/>
      </w:pPr>
      <w:r>
        <w:rPr>
          <w:rFonts w:ascii="仿宋" w:eastAsia="仿宋" w:hAnsi="仿宋" w:cs="仿宋"/>
          <w:color w:val="000000"/>
          <w:sz w:val="30"/>
        </w:rPr>
        <w:t>天津南站地区综合管理办公室单位2025年财政拨款收入预算2,396.25万元，与上年预算相比增加310.17万元，主要原因是年初安排项目预算较上年年初有所增加。收入包括：一般公共预算拨款收入2,396.25万元、政府性基金预算拨款收入0万元、上年财政结转结余0万元、国有资本经营预算拨款收入0万元、2025年财政拨款支出预算2,396.25万元，与上年预算相比增加310.17万元，主要原因是年初安排项目预算较上年年初有所增加。支出包括：一般公共服务支出2,136.79万元 ；教育支出0.81万元 ；社会保障和就业支出174.77万元 ；卫生健康支出83.88万元。</w:t>
      </w:r>
    </w:p>
    <w:p w14:paraId="05610A51" w14:textId="77777777" w:rsidR="00E95614" w:rsidRDefault="00086F3B">
      <w:pPr>
        <w:spacing w:line="560" w:lineRule="exact"/>
        <w:ind w:firstLine="600"/>
      </w:pPr>
      <w:r>
        <w:rPr>
          <w:rFonts w:ascii="黑体" w:eastAsia="黑体" w:hAnsi="黑体" w:cs="黑体"/>
          <w:b/>
          <w:color w:val="000000"/>
          <w:sz w:val="30"/>
        </w:rPr>
        <w:t>五、关于一般公共预算支出情况表的说明</w:t>
      </w:r>
    </w:p>
    <w:p w14:paraId="76D56DCF" w14:textId="77777777" w:rsidR="00E95614" w:rsidRDefault="00086F3B">
      <w:pPr>
        <w:spacing w:line="560" w:lineRule="exact"/>
        <w:ind w:firstLine="600"/>
      </w:pPr>
      <w:r>
        <w:rPr>
          <w:rFonts w:ascii="楷体" w:eastAsia="楷体" w:hAnsi="楷体" w:cs="楷体"/>
          <w:b/>
          <w:color w:val="000000"/>
          <w:sz w:val="30"/>
        </w:rPr>
        <w:t>（一）总体情况</w:t>
      </w:r>
    </w:p>
    <w:p w14:paraId="74E29ABA" w14:textId="77777777" w:rsidR="00E95614" w:rsidRDefault="00086F3B">
      <w:pPr>
        <w:spacing w:line="560" w:lineRule="exact"/>
        <w:ind w:firstLine="600"/>
      </w:pPr>
      <w:r>
        <w:rPr>
          <w:rFonts w:ascii="仿宋" w:eastAsia="仿宋" w:hAnsi="仿宋" w:cs="仿宋"/>
          <w:color w:val="000000"/>
          <w:sz w:val="30"/>
        </w:rPr>
        <w:t>天津南站地区综合管理办公室单位2025年一般公共预算支出2,396.25万元(上年2086.08万元），与上年预算相比增加310.17万元，主要原因是年初安排项目预算较上年年初有所增加。</w:t>
      </w:r>
    </w:p>
    <w:p w14:paraId="3456CD94" w14:textId="77777777" w:rsidR="00E95614" w:rsidRDefault="00086F3B">
      <w:pPr>
        <w:spacing w:line="560" w:lineRule="exact"/>
        <w:ind w:firstLine="600"/>
      </w:pPr>
      <w:r>
        <w:rPr>
          <w:rFonts w:ascii="楷体" w:eastAsia="楷体" w:hAnsi="楷体" w:cs="楷体"/>
          <w:b/>
          <w:color w:val="000000"/>
          <w:sz w:val="30"/>
        </w:rPr>
        <w:t>（二）具体情况</w:t>
      </w:r>
    </w:p>
    <w:p w14:paraId="011971EC" w14:textId="77777777" w:rsidR="00E95614" w:rsidRDefault="00086F3B">
      <w:pPr>
        <w:spacing w:line="560" w:lineRule="exact"/>
        <w:ind w:firstLine="600"/>
      </w:pPr>
      <w:r>
        <w:rPr>
          <w:rFonts w:ascii="仿宋" w:eastAsia="仿宋" w:hAnsi="仿宋" w:cs="仿宋"/>
          <w:color w:val="000000"/>
          <w:sz w:val="30"/>
        </w:rPr>
        <w:t>1、“一般公共服务支出（类）”2,136.79万元，与上年预算相比增加299.83万元，主要原因是年初安排项目预算较上</w:t>
      </w:r>
      <w:r>
        <w:rPr>
          <w:rFonts w:ascii="仿宋" w:eastAsia="仿宋" w:hAnsi="仿宋" w:cs="仿宋"/>
          <w:color w:val="000000"/>
          <w:sz w:val="30"/>
        </w:rPr>
        <w:lastRenderedPageBreak/>
        <w:t>年有所增加。其中：“其他一般公共服务支出（款）”2,136.79万元，包括：“其他一般公共服务支出（项）”2,136.79万元，主要用于工资福利支出、商品服务支出、对个人和家庭的补助支出及项目支出。</w:t>
      </w:r>
    </w:p>
    <w:p w14:paraId="48342554" w14:textId="77777777" w:rsidR="00E95614" w:rsidRDefault="00086F3B">
      <w:pPr>
        <w:spacing w:line="560" w:lineRule="exact"/>
        <w:ind w:firstLine="600"/>
      </w:pPr>
      <w:r>
        <w:rPr>
          <w:rFonts w:ascii="仿宋" w:eastAsia="仿宋" w:hAnsi="仿宋" w:cs="仿宋"/>
          <w:color w:val="000000"/>
          <w:sz w:val="30"/>
        </w:rPr>
        <w:t>2、“教育支出（类）”0.81万元，与上年预算相比增加0.03万元，主要原因是在职人员增加。其中：“进修及培训（款）”0.81万元，包括：“培训支出（项）”0.81万元，主要用于人员培训费支出。</w:t>
      </w:r>
    </w:p>
    <w:p w14:paraId="1388E302" w14:textId="77777777" w:rsidR="00E95614" w:rsidRDefault="00086F3B">
      <w:pPr>
        <w:spacing w:line="560" w:lineRule="exact"/>
        <w:ind w:firstLine="600"/>
      </w:pPr>
      <w:r>
        <w:rPr>
          <w:rFonts w:ascii="仿宋" w:eastAsia="仿宋" w:hAnsi="仿宋" w:cs="仿宋"/>
          <w:color w:val="000000"/>
          <w:sz w:val="30"/>
        </w:rPr>
        <w:t>3、“社会保障和就业支出（类）”174.77万元，与上年预算相比增加9.87万元，主要原因是在职人员增加。其中：“行政事业单位养老支出（款）”174.77万元，包括：“行政单位离退休（项）”7.00万元，主要用于退休干部补贴支出；“机关事业单位基本养老保险缴费支出（项）”111.84万元，主要用于机关事业单位在职人员基本养老保险缴费支出；“机关事业单位职业年金缴费支出（项）”55.92万元，主要用于机关事业单位在职人员职业年金缴费支出。</w:t>
      </w:r>
    </w:p>
    <w:p w14:paraId="05797A5A" w14:textId="77777777" w:rsidR="00E95614" w:rsidRDefault="00086F3B">
      <w:pPr>
        <w:spacing w:line="560" w:lineRule="exact"/>
        <w:ind w:firstLine="600"/>
      </w:pPr>
      <w:r>
        <w:rPr>
          <w:rFonts w:ascii="仿宋" w:eastAsia="仿宋" w:hAnsi="仿宋" w:cs="仿宋"/>
          <w:color w:val="000000"/>
          <w:sz w:val="30"/>
        </w:rPr>
        <w:t>4、“卫生健康支出（类）”83.88万元，与上年预算相比增加0.43万元，主要原因是在职人员增加。其中：“行政事业单位医疗（款）”83.88万元，包括：“行政单位医疗（项）”69.90万元，主要用于行政事业单位在职人员医疗支出；“公务员医疗补助（项）”13.98万元，主要用于行政事业单位在职人员医疗补助支出。</w:t>
      </w:r>
    </w:p>
    <w:p w14:paraId="20579222" w14:textId="77777777" w:rsidR="00E95614" w:rsidRDefault="00086F3B">
      <w:pPr>
        <w:spacing w:line="560" w:lineRule="exact"/>
        <w:ind w:firstLine="600"/>
      </w:pPr>
      <w:r>
        <w:rPr>
          <w:rFonts w:ascii="黑体" w:eastAsia="黑体" w:hAnsi="黑体" w:cs="黑体"/>
          <w:b/>
          <w:color w:val="000000"/>
          <w:sz w:val="30"/>
        </w:rPr>
        <w:t>六、关于一般公共预算基本支出情况表的说明</w:t>
      </w:r>
    </w:p>
    <w:p w14:paraId="5A8DE81C" w14:textId="77777777" w:rsidR="00E95614" w:rsidRDefault="00086F3B">
      <w:pPr>
        <w:spacing w:line="560" w:lineRule="exact"/>
        <w:ind w:firstLine="600"/>
      </w:pPr>
      <w:r>
        <w:rPr>
          <w:rFonts w:ascii="仿宋" w:eastAsia="仿宋" w:hAnsi="仿宋" w:cs="仿宋"/>
          <w:color w:val="000000"/>
          <w:sz w:val="30"/>
        </w:rPr>
        <w:t>天津南站地区综合管理办公室单位2025年一般公共预算基</w:t>
      </w:r>
      <w:r>
        <w:rPr>
          <w:rFonts w:ascii="仿宋" w:eastAsia="仿宋" w:hAnsi="仿宋" w:cs="仿宋"/>
          <w:color w:val="000000"/>
          <w:sz w:val="30"/>
        </w:rPr>
        <w:lastRenderedPageBreak/>
        <w:t>本支出 2,112.88万元，与上年预算相比增加46.80万元，主要原因是在职人员增加。其中：人员经费 1,581.18万元，主要包括：基本工资、津贴补贴、奖金、机关事业单位基本养老保险缴费、职业年金缴费、职工基本医疗保险缴费、公务员医疗补助缴费、其他社会保障缴费、住房公积金、其他工资福利支出、退休费、生活补助、其他对个人和家庭的补助等；</w:t>
      </w:r>
    </w:p>
    <w:p w14:paraId="110E5823" w14:textId="77777777" w:rsidR="00E95614" w:rsidRDefault="00086F3B">
      <w:pPr>
        <w:spacing w:line="560" w:lineRule="exact"/>
        <w:ind w:firstLine="600"/>
      </w:pPr>
      <w:r>
        <w:rPr>
          <w:rFonts w:ascii="仿宋" w:eastAsia="仿宋" w:hAnsi="仿宋" w:cs="仿宋"/>
          <w:color w:val="000000"/>
          <w:sz w:val="30"/>
        </w:rPr>
        <w:t>公用经费531.70万元，主要包括：办公费、水费、电费、邮电费、取暖费、物业管理费、差旅费、维修（护）费、培训费、公务接待费、委托业务费、工会经费、福利费、其他交通费用、其他商品和服务支出、办公设备购置等。</w:t>
      </w:r>
    </w:p>
    <w:p w14:paraId="6E57E1A5" w14:textId="77777777" w:rsidR="00E95614" w:rsidRDefault="00086F3B">
      <w:pPr>
        <w:spacing w:line="560" w:lineRule="exact"/>
        <w:ind w:firstLine="600"/>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2025年一般公共预算“三公”经费安排0.40万元，与2024年预算相比增加0.00万元，主要原因是本单位一般公共预算“三公”经费较上年持平。</w:t>
      </w:r>
    </w:p>
    <w:p w14:paraId="3C787A37" w14:textId="77777777" w:rsidR="00E95614" w:rsidRDefault="00086F3B">
      <w:pPr>
        <w:spacing w:line="560" w:lineRule="exact"/>
        <w:ind w:firstLine="600"/>
      </w:pPr>
      <w:r>
        <w:rPr>
          <w:rFonts w:ascii="仿宋" w:eastAsia="仿宋" w:hAnsi="仿宋" w:cs="仿宋"/>
          <w:color w:val="000000"/>
          <w:sz w:val="30"/>
        </w:rPr>
        <w:t>具体情况：</w:t>
      </w:r>
    </w:p>
    <w:p w14:paraId="74F572CF" w14:textId="77777777" w:rsidR="00E95614" w:rsidRDefault="00086F3B">
      <w:pPr>
        <w:spacing w:line="560" w:lineRule="exact"/>
        <w:ind w:firstLine="600"/>
      </w:pPr>
      <w:r>
        <w:rPr>
          <w:rFonts w:ascii="仿宋" w:eastAsia="仿宋" w:hAnsi="仿宋" w:cs="仿宋"/>
          <w:color w:val="000000"/>
          <w:sz w:val="30"/>
        </w:rPr>
        <w:t>一、2025年因公出国（境）费预算0万元，与2024年预算相比增加0.00万元，主要原因是本单位一般公共预算未安排因公出国（境）费预算。</w:t>
      </w:r>
    </w:p>
    <w:p w14:paraId="07425F72" w14:textId="77777777" w:rsidR="00E95614" w:rsidRDefault="00086F3B">
      <w:pPr>
        <w:spacing w:line="560" w:lineRule="exact"/>
        <w:ind w:firstLine="600"/>
      </w:pPr>
      <w:r>
        <w:rPr>
          <w:rFonts w:ascii="仿宋" w:eastAsia="仿宋" w:hAnsi="仿宋" w:cs="仿宋"/>
          <w:color w:val="000000"/>
          <w:sz w:val="30"/>
        </w:rPr>
        <w:t>二、2025年公务用车购置及运行费预算0万元，</w:t>
      </w:r>
    </w:p>
    <w:p w14:paraId="18544FCA" w14:textId="77777777" w:rsidR="00E95614" w:rsidRDefault="00086F3B">
      <w:pPr>
        <w:spacing w:line="560" w:lineRule="exact"/>
        <w:ind w:firstLine="600"/>
      </w:pPr>
      <w:r>
        <w:rPr>
          <w:rFonts w:ascii="仿宋" w:eastAsia="仿宋" w:hAnsi="仿宋" w:cs="仿宋"/>
          <w:color w:val="000000"/>
          <w:sz w:val="30"/>
        </w:rPr>
        <w:t>其中公务用车运行费0万元，与2024年预算相比增加0万元，主要原因是是本单位一般公共预算未安排公务用车运行费预算；公务用车购置费0万元，与2024年预算相比增加0万元，主要原因是本单位一般公共预算未安排公务用车购置费预算。</w:t>
      </w:r>
    </w:p>
    <w:p w14:paraId="7585B4C6" w14:textId="77777777" w:rsidR="00E95614" w:rsidRDefault="00086F3B">
      <w:pPr>
        <w:spacing w:line="560" w:lineRule="exact"/>
        <w:ind w:firstLine="600"/>
      </w:pPr>
      <w:r>
        <w:rPr>
          <w:rFonts w:ascii="仿宋" w:eastAsia="仿宋" w:hAnsi="仿宋" w:cs="仿宋"/>
          <w:color w:val="000000"/>
          <w:sz w:val="30"/>
        </w:rPr>
        <w:t>三、2025年公务接待费预算0.40万元，与2024年预算相</w:t>
      </w:r>
      <w:r>
        <w:rPr>
          <w:rFonts w:ascii="仿宋" w:eastAsia="仿宋" w:hAnsi="仿宋" w:cs="仿宋"/>
          <w:color w:val="000000"/>
          <w:sz w:val="30"/>
        </w:rPr>
        <w:lastRenderedPageBreak/>
        <w:t>比增加0万元，主要原因是本单位一般公共预算公务接待费预算较上年持平。</w:t>
      </w:r>
    </w:p>
    <w:p w14:paraId="2574F935" w14:textId="77777777" w:rsidR="00E95614" w:rsidRDefault="00086F3B">
      <w:pPr>
        <w:spacing w:line="560" w:lineRule="exact"/>
        <w:ind w:firstLine="600"/>
      </w:pPr>
      <w:r>
        <w:rPr>
          <w:rFonts w:ascii="黑体" w:eastAsia="黑体" w:hAnsi="黑体" w:cs="黑体"/>
          <w:b/>
          <w:color w:val="000000"/>
          <w:sz w:val="30"/>
        </w:rPr>
        <w:t>八、关于政府性基金预算支出情况表的说明</w:t>
      </w:r>
    </w:p>
    <w:p w14:paraId="138921AD" w14:textId="77777777" w:rsidR="00E95614" w:rsidRDefault="00086F3B">
      <w:pPr>
        <w:spacing w:line="560" w:lineRule="exact"/>
        <w:ind w:firstLine="600"/>
      </w:pPr>
      <w:r>
        <w:rPr>
          <w:rFonts w:ascii="仿宋" w:eastAsia="仿宋" w:hAnsi="仿宋" w:cs="仿宋"/>
          <w:color w:val="000000"/>
          <w:sz w:val="30"/>
        </w:rPr>
        <w:t>2025年天津南站地区综合管理办公室单位预算中没有使用政府性基金预算安排的支出。</w:t>
      </w:r>
    </w:p>
    <w:p w14:paraId="0EDD9EE6" w14:textId="77777777" w:rsidR="00E95614" w:rsidRDefault="00086F3B">
      <w:pPr>
        <w:spacing w:line="560" w:lineRule="exact"/>
        <w:ind w:firstLine="600"/>
      </w:pPr>
      <w:r>
        <w:rPr>
          <w:rFonts w:ascii="黑体" w:eastAsia="黑体" w:hAnsi="黑体" w:cs="黑体"/>
          <w:b/>
          <w:color w:val="000000"/>
          <w:sz w:val="30"/>
        </w:rPr>
        <w:t>九、关于国有资本经营预算支出情况表的说明</w:t>
      </w:r>
    </w:p>
    <w:p w14:paraId="6725A81B" w14:textId="77777777" w:rsidR="00E95614" w:rsidRDefault="00086F3B">
      <w:pPr>
        <w:spacing w:line="560" w:lineRule="exact"/>
        <w:ind w:firstLine="600"/>
      </w:pPr>
      <w:r>
        <w:rPr>
          <w:rFonts w:ascii="仿宋" w:eastAsia="仿宋" w:hAnsi="仿宋" w:cs="仿宋"/>
          <w:color w:val="000000"/>
          <w:sz w:val="30"/>
        </w:rPr>
        <w:t>2025年天津南站地区综合管理办公室单位预算中没有使用国有资本经营预算安排的支出。</w:t>
      </w:r>
    </w:p>
    <w:p w14:paraId="2AAF09BF" w14:textId="77777777" w:rsidR="00E95614" w:rsidRDefault="00086F3B">
      <w:pPr>
        <w:spacing w:line="560" w:lineRule="exact"/>
        <w:ind w:firstLine="600"/>
      </w:pPr>
      <w:r>
        <w:rPr>
          <w:rFonts w:ascii="黑体" w:eastAsia="黑体" w:hAnsi="黑体" w:cs="黑体"/>
          <w:b/>
          <w:color w:val="000000"/>
          <w:sz w:val="30"/>
        </w:rPr>
        <w:t>十、其他重要事项的情况说明</w:t>
      </w:r>
    </w:p>
    <w:p w14:paraId="1815BA7B" w14:textId="77777777" w:rsidR="00E95614" w:rsidRDefault="00086F3B">
      <w:pPr>
        <w:spacing w:line="560" w:lineRule="exact"/>
        <w:ind w:firstLine="600"/>
      </w:pPr>
      <w:r>
        <w:rPr>
          <w:rFonts w:ascii="楷体" w:eastAsia="楷体" w:hAnsi="楷体" w:cs="楷体"/>
          <w:b/>
          <w:color w:val="000000"/>
          <w:sz w:val="30"/>
        </w:rPr>
        <w:t>（一）机关运行经费。</w:t>
      </w:r>
    </w:p>
    <w:p w14:paraId="149FCF36" w14:textId="77777777" w:rsidR="00E95614" w:rsidRDefault="00086F3B">
      <w:pPr>
        <w:spacing w:line="560" w:lineRule="exact"/>
        <w:ind w:firstLine="600"/>
      </w:pPr>
      <w:r>
        <w:rPr>
          <w:rFonts w:ascii="仿宋" w:eastAsia="仿宋" w:hAnsi="仿宋" w:cs="仿宋"/>
          <w:color w:val="000000"/>
          <w:sz w:val="30"/>
        </w:rPr>
        <w:t>本单位2025年天津南站地区综合管理办公室1家行政单位以及0家参公管理事业单位的机关运行经费预算531.70万元，包括办公费30.98万元、水费4.86万元、电费30.49万元、邮电费4.86万元、取暖费11.60万元、物业管理费261.78万元、差旅费4.54万元、维修(护)费16.46万元、培训费0.81万元、公务接待费0.40万元、委托业务费2.40万元、工会经费19.51万元、福利费9.30万元、其他交通费用47.57万元、其他商品和服务支出78.45万元、办公设备购置7.70万元 。</w:t>
      </w:r>
    </w:p>
    <w:p w14:paraId="51DD0BE1" w14:textId="77777777" w:rsidR="00E95614" w:rsidRDefault="00086F3B">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479.15万元，其中：政府采购货物支出0.55万元、政府采购工程支出138.37万元、政府采购服务支出340.23万元。主要项目是：空调采购0.55万元，物业管理服务项目170.23万元，南站环卫作业服务项目170万元，警务站建设项目78.37万元，天津南站前广场改造项目60万元。</w:t>
      </w:r>
    </w:p>
    <w:p w14:paraId="281D9899" w14:textId="77777777" w:rsidR="00E95614" w:rsidRDefault="00086F3B">
      <w:pPr>
        <w:spacing w:line="560" w:lineRule="exact"/>
        <w:ind w:firstLine="600"/>
      </w:pPr>
      <w:r>
        <w:rPr>
          <w:rFonts w:ascii="楷体" w:eastAsia="楷体" w:hAnsi="楷体" w:cs="楷体"/>
          <w:b/>
          <w:color w:val="000000"/>
          <w:sz w:val="30"/>
        </w:rPr>
        <w:lastRenderedPageBreak/>
        <w:t>（三）国有资产占用情况</w:t>
      </w:r>
    </w:p>
    <w:p w14:paraId="1273E19A" w14:textId="77777777" w:rsidR="00E95614" w:rsidRDefault="00086F3B">
      <w:pPr>
        <w:spacing w:line="560" w:lineRule="exact"/>
        <w:ind w:firstLine="600"/>
      </w:pPr>
      <w:r>
        <w:rPr>
          <w:rFonts w:ascii="仿宋" w:eastAsia="仿宋" w:hAnsi="仿宋" w:cs="仿宋"/>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4台（套）。</w:t>
      </w:r>
    </w:p>
    <w:p w14:paraId="02A29762" w14:textId="77777777" w:rsidR="00E95614" w:rsidRDefault="00086F3B">
      <w:pPr>
        <w:spacing w:line="560" w:lineRule="exact"/>
        <w:ind w:firstLine="600"/>
      </w:pPr>
      <w:r>
        <w:rPr>
          <w:rFonts w:ascii="楷体" w:eastAsia="楷体" w:hAnsi="楷体" w:cs="楷体"/>
          <w:b/>
          <w:color w:val="000000"/>
          <w:sz w:val="30"/>
        </w:rPr>
        <w:t>（四）预算绩效情况说明。</w:t>
      </w:r>
    </w:p>
    <w:p w14:paraId="32963430" w14:textId="77777777" w:rsidR="00E95614" w:rsidRDefault="00086F3B">
      <w:pPr>
        <w:spacing w:line="560" w:lineRule="exact"/>
        <w:ind w:firstLine="600"/>
      </w:pPr>
      <w:r>
        <w:rPr>
          <w:rFonts w:ascii="仿宋" w:eastAsia="仿宋" w:hAnsi="仿宋" w:cs="仿宋"/>
          <w:color w:val="000000"/>
          <w:sz w:val="30"/>
        </w:rPr>
        <w:t>天津南站地区综合管理办公室单位2025年实行绩效目标管理的项目8个，涉及预算金额283.37万元。</w:t>
      </w:r>
    </w:p>
    <w:p w14:paraId="475CE803" w14:textId="77777777" w:rsidR="00E95614" w:rsidRDefault="00086F3B">
      <w:pPr>
        <w:pageBreakBefore/>
        <w:spacing w:line="560" w:lineRule="exact"/>
        <w:jc w:val="center"/>
      </w:pPr>
      <w:r>
        <w:rPr>
          <w:rFonts w:ascii="黑体" w:eastAsia="黑体" w:hAnsi="黑体" w:cs="黑体"/>
          <w:b/>
          <w:color w:val="000000"/>
          <w:sz w:val="48"/>
        </w:rPr>
        <w:lastRenderedPageBreak/>
        <w:t>第三部分  名词解释</w:t>
      </w:r>
    </w:p>
    <w:p w14:paraId="523D8C03" w14:textId="77777777" w:rsidR="00E95614" w:rsidRDefault="00086F3B">
      <w:pPr>
        <w:spacing w:line="560" w:lineRule="exact"/>
        <w:ind w:firstLine="560"/>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1E312F86" w14:textId="77777777" w:rsidR="00E95614" w:rsidRDefault="00086F3B">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5FF8F8C0" w14:textId="77777777" w:rsidR="00E95614" w:rsidRDefault="00086F3B">
      <w:pPr>
        <w:spacing w:line="560" w:lineRule="exact"/>
        <w:ind w:firstLine="560"/>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6D6BCC1E" w14:textId="77777777" w:rsidR="00E95614" w:rsidRDefault="00086F3B">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B828A17" w14:textId="77777777" w:rsidR="00E95614" w:rsidRDefault="00086F3B">
      <w:pPr>
        <w:pageBreakBefore/>
        <w:spacing w:line="2000" w:lineRule="exact"/>
        <w:jc w:val="center"/>
      </w:pPr>
      <w:r>
        <w:rPr>
          <w:rFonts w:ascii="FZXiaoBiaoSong-B05S" w:eastAsia="FZXiaoBiaoSong-B05S" w:hAnsi="FZXiaoBiaoSong-B05S" w:cs="FZXiaoBiaoSong-B05S"/>
          <w:b/>
          <w:color w:val="000000"/>
          <w:sz w:val="48"/>
        </w:rPr>
        <w:lastRenderedPageBreak/>
        <w:t>第四部分   2025年单位预算表</w:t>
      </w:r>
    </w:p>
    <w:p w14:paraId="39F8837A" w14:textId="77777777" w:rsidR="00E95614" w:rsidRDefault="00086F3B">
      <w:pPr>
        <w:spacing w:line="560" w:lineRule="exact"/>
      </w:pPr>
      <w:r>
        <w:rPr>
          <w:rFonts w:ascii="楷体" w:eastAsia="楷体" w:hAnsi="楷体" w:cs="楷体"/>
          <w:b/>
          <w:color w:val="000000"/>
          <w:sz w:val="30"/>
        </w:rPr>
        <w:t>一、《部门收支总体情况表》</w:t>
      </w:r>
    </w:p>
    <w:p w14:paraId="0DD8A11C" w14:textId="77777777" w:rsidR="00E95614" w:rsidRDefault="00086F3B">
      <w:pPr>
        <w:spacing w:line="560" w:lineRule="exact"/>
      </w:pPr>
      <w:r>
        <w:rPr>
          <w:rFonts w:ascii="楷体" w:eastAsia="楷体" w:hAnsi="楷体" w:cs="楷体"/>
          <w:b/>
          <w:color w:val="000000"/>
          <w:sz w:val="30"/>
        </w:rPr>
        <w:t>二、《部门收入总体情况表》</w:t>
      </w:r>
    </w:p>
    <w:p w14:paraId="4AA97514" w14:textId="77777777" w:rsidR="00E95614" w:rsidRDefault="00086F3B">
      <w:pPr>
        <w:spacing w:line="560" w:lineRule="exact"/>
      </w:pPr>
      <w:r>
        <w:rPr>
          <w:rFonts w:ascii="楷体" w:eastAsia="楷体" w:hAnsi="楷体" w:cs="楷体"/>
          <w:b/>
          <w:color w:val="000000"/>
          <w:sz w:val="30"/>
        </w:rPr>
        <w:t>三、《部门支出总体情况表》</w:t>
      </w:r>
    </w:p>
    <w:p w14:paraId="61FD6C29" w14:textId="77777777" w:rsidR="00E95614" w:rsidRDefault="00086F3B">
      <w:pPr>
        <w:spacing w:line="560" w:lineRule="exact"/>
      </w:pPr>
      <w:r>
        <w:rPr>
          <w:rFonts w:ascii="楷体" w:eastAsia="楷体" w:hAnsi="楷体" w:cs="楷体"/>
          <w:b/>
          <w:color w:val="000000"/>
          <w:sz w:val="30"/>
        </w:rPr>
        <w:t>四、《财政拨款收支总体情况表》</w:t>
      </w:r>
    </w:p>
    <w:p w14:paraId="522B5050" w14:textId="77777777" w:rsidR="00E95614" w:rsidRDefault="00086F3B">
      <w:pPr>
        <w:spacing w:line="560" w:lineRule="exact"/>
      </w:pPr>
      <w:r>
        <w:rPr>
          <w:rFonts w:ascii="楷体" w:eastAsia="楷体" w:hAnsi="楷体" w:cs="楷体"/>
          <w:b/>
          <w:color w:val="000000"/>
          <w:sz w:val="30"/>
        </w:rPr>
        <w:t>五、《一般公共预算支出情况表》</w:t>
      </w:r>
    </w:p>
    <w:p w14:paraId="62B4EAB9" w14:textId="77777777" w:rsidR="00E95614" w:rsidRDefault="00086F3B">
      <w:pPr>
        <w:spacing w:line="560" w:lineRule="exact"/>
      </w:pPr>
      <w:r>
        <w:rPr>
          <w:rFonts w:ascii="楷体" w:eastAsia="楷体" w:hAnsi="楷体" w:cs="楷体"/>
          <w:b/>
          <w:color w:val="000000"/>
          <w:sz w:val="30"/>
        </w:rPr>
        <w:t>六、《一般公共预算基本支出情况表》</w:t>
      </w:r>
    </w:p>
    <w:p w14:paraId="519D96FE" w14:textId="77777777" w:rsidR="00E95614" w:rsidRDefault="00086F3B">
      <w:pPr>
        <w:spacing w:line="560" w:lineRule="exact"/>
      </w:pPr>
      <w:r>
        <w:rPr>
          <w:rFonts w:ascii="楷体" w:eastAsia="楷体" w:hAnsi="楷体" w:cs="楷体"/>
          <w:b/>
          <w:color w:val="000000"/>
          <w:sz w:val="30"/>
        </w:rPr>
        <w:t>七、《一般公共预算“三公”经费支出情况表》</w:t>
      </w:r>
    </w:p>
    <w:p w14:paraId="25B67BAC" w14:textId="77777777" w:rsidR="00E95614" w:rsidRDefault="00086F3B">
      <w:pPr>
        <w:spacing w:line="560" w:lineRule="exact"/>
      </w:pPr>
      <w:r>
        <w:rPr>
          <w:rFonts w:ascii="楷体" w:eastAsia="楷体" w:hAnsi="楷体" w:cs="楷体"/>
          <w:b/>
          <w:color w:val="000000"/>
          <w:sz w:val="30"/>
        </w:rPr>
        <w:t>八、《政府性基金预算支出情况表》</w:t>
      </w:r>
    </w:p>
    <w:p w14:paraId="64B33073" w14:textId="77777777" w:rsidR="00E95614" w:rsidRDefault="00086F3B">
      <w:pPr>
        <w:spacing w:line="560" w:lineRule="exact"/>
      </w:pPr>
      <w:r>
        <w:rPr>
          <w:rFonts w:ascii="楷体" w:eastAsia="楷体" w:hAnsi="楷体" w:cs="楷体"/>
          <w:b/>
          <w:color w:val="000000"/>
          <w:sz w:val="30"/>
        </w:rPr>
        <w:t>九、《国有资本经营预算支出情况表》</w:t>
      </w:r>
    </w:p>
    <w:p w14:paraId="4956AA1B" w14:textId="77777777" w:rsidR="00E95614" w:rsidRDefault="00086F3B">
      <w:pPr>
        <w:spacing w:line="560" w:lineRule="exact"/>
      </w:pPr>
      <w:r>
        <w:rPr>
          <w:rFonts w:ascii="楷体" w:eastAsia="楷体" w:hAnsi="楷体" w:cs="楷体"/>
          <w:b/>
          <w:color w:val="000000"/>
          <w:sz w:val="30"/>
        </w:rPr>
        <w:t>十、《项目支出表》</w:t>
      </w:r>
    </w:p>
    <w:p w14:paraId="1CC8B117" w14:textId="77777777" w:rsidR="00E95614" w:rsidRDefault="00086F3B">
      <w:pPr>
        <w:spacing w:line="560" w:lineRule="exact"/>
      </w:pPr>
      <w:r>
        <w:rPr>
          <w:rFonts w:ascii="楷体" w:eastAsia="楷体" w:hAnsi="楷体" w:cs="楷体"/>
          <w:b/>
          <w:color w:val="000000"/>
          <w:sz w:val="30"/>
        </w:rPr>
        <w:t>十一、关于空表说明</w:t>
      </w:r>
    </w:p>
    <w:p w14:paraId="5A3E8CAE" w14:textId="77777777" w:rsidR="00E95614" w:rsidRDefault="00086F3B">
      <w:pPr>
        <w:pageBreakBefore/>
        <w:spacing w:line="560" w:lineRule="exact"/>
      </w:pPr>
      <w:r>
        <w:rPr>
          <w:rFonts w:ascii="仿宋" w:eastAsia="仿宋" w:hAnsi="仿宋" w:cs="仿宋"/>
          <w:b/>
          <w:color w:val="000000"/>
          <w:sz w:val="30"/>
        </w:rPr>
        <w:lastRenderedPageBreak/>
        <w:t>十一、关于空表的说明</w:t>
      </w:r>
    </w:p>
    <w:p w14:paraId="2CA7DA6F" w14:textId="77777777" w:rsidR="00E95614" w:rsidRDefault="00086F3B">
      <w:pPr>
        <w:spacing w:line="560" w:lineRule="exact"/>
        <w:ind w:firstLine="600"/>
      </w:pPr>
      <w:r>
        <w:rPr>
          <w:rFonts w:ascii="仿宋" w:eastAsia="仿宋" w:hAnsi="仿宋" w:cs="仿宋"/>
          <w:color w:val="000000"/>
          <w:sz w:val="30"/>
        </w:rPr>
        <w:t>本单位2025年政府性基金预算支出情况表为空表</w:t>
      </w:r>
    </w:p>
    <w:p w14:paraId="3E73AB64" w14:textId="77777777" w:rsidR="00E95614" w:rsidRDefault="00086F3B">
      <w:pPr>
        <w:spacing w:line="560" w:lineRule="exact"/>
        <w:ind w:firstLine="600"/>
      </w:pPr>
      <w:r>
        <w:rPr>
          <w:rFonts w:ascii="仿宋" w:eastAsia="仿宋" w:hAnsi="仿宋" w:cs="仿宋"/>
          <w:color w:val="000000"/>
          <w:sz w:val="30"/>
        </w:rPr>
        <w:t>本单位2025年国有资本经营预算支出情况表为空表</w:t>
      </w:r>
    </w:p>
    <w:sectPr w:rsidR="00E956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92472" w14:textId="77777777" w:rsidR="00BE0D70" w:rsidRDefault="00BE0D70" w:rsidP="00BE0D70">
      <w:r>
        <w:separator/>
      </w:r>
    </w:p>
  </w:endnote>
  <w:endnote w:type="continuationSeparator" w:id="0">
    <w:p w14:paraId="61CA90C3" w14:textId="77777777" w:rsidR="00BE0D70" w:rsidRDefault="00BE0D70" w:rsidP="00BE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5FFE6" w14:textId="77777777" w:rsidR="00BE0D70" w:rsidRDefault="00BE0D70" w:rsidP="00BE0D70">
      <w:r>
        <w:separator/>
      </w:r>
    </w:p>
  </w:footnote>
  <w:footnote w:type="continuationSeparator" w:id="0">
    <w:p w14:paraId="7CD94455" w14:textId="77777777" w:rsidR="00BE0D70" w:rsidRDefault="00BE0D70" w:rsidP="00BE0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95614"/>
    <w:rsid w:val="00051D95"/>
    <w:rsid w:val="00086F3B"/>
    <w:rsid w:val="006A311B"/>
    <w:rsid w:val="007E70D0"/>
    <w:rsid w:val="00BE0D70"/>
    <w:rsid w:val="00C83259"/>
    <w:rsid w:val="00CB25BA"/>
    <w:rsid w:val="00CC6F1A"/>
    <w:rsid w:val="00E51C8C"/>
    <w:rsid w:val="00E95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D294C"/>
  <w15:docId w15:val="{90533F59-A96C-484B-AC7C-EAE8AFEE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0D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BE0D70"/>
    <w:rPr>
      <w:sz w:val="18"/>
      <w:szCs w:val="18"/>
    </w:rPr>
  </w:style>
  <w:style w:type="paragraph" w:styleId="a5">
    <w:name w:val="footer"/>
    <w:basedOn w:val="a"/>
    <w:link w:val="a6"/>
    <w:uiPriority w:val="99"/>
    <w:semiHidden/>
    <w:unhideWhenUsed/>
    <w:rsid w:val="00BE0D70"/>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BE0D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706</Words>
  <Characters>4026</Characters>
  <Application>Microsoft Office Word</Application>
  <DocSecurity>0</DocSecurity>
  <Lines>33</Lines>
  <Paragraphs>9</Paragraphs>
  <ScaleCrop>false</ScaleCrop>
  <Company>user</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10</cp:revision>
  <dcterms:created xsi:type="dcterms:W3CDTF">2025-03-24T07:11:00Z</dcterms:created>
  <dcterms:modified xsi:type="dcterms:W3CDTF">2025-03-26T06:58:00Z</dcterms:modified>
</cp:coreProperties>
</file>