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9D2A6" w14:textId="77777777" w:rsidR="00CB134D" w:rsidRDefault="006F45B2">
      <w:pPr>
        <w:spacing w:line="2600" w:lineRule="exact"/>
        <w:jc w:val="center"/>
        <w:rPr>
          <w:rFonts w:hint="eastAsia"/>
        </w:rPr>
      </w:pPr>
      <w:r>
        <w:rPr>
          <w:rFonts w:ascii="FZXiaoBiaoSong-B05S" w:eastAsia="FZXiaoBiaoSong-B05S" w:hAnsi="FZXiaoBiaoSong-B05S" w:cs="FZXiaoBiaoSong-B05S"/>
          <w:b/>
          <w:color w:val="000000"/>
          <w:sz w:val="48"/>
        </w:rPr>
        <w:t>天津市西青区投资促进局</w:t>
      </w:r>
      <w:r>
        <w:rPr>
          <w:rFonts w:ascii="FZXiaoBiaoSong-B05S" w:eastAsia="FZXiaoBiaoSong-B05S" w:hAnsi="FZXiaoBiaoSong-B05S" w:cs="FZXiaoBiaoSong-B05S"/>
          <w:b/>
          <w:color w:val="000000"/>
          <w:sz w:val="48"/>
        </w:rPr>
        <w:br/>
        <w:t>2025年度部门预算公开</w:t>
      </w:r>
    </w:p>
    <w:p w14:paraId="49E3044B" w14:textId="77777777" w:rsidR="00CB134D" w:rsidRDefault="006F45B2">
      <w:pPr>
        <w:pageBreakBefore/>
        <w:spacing w:line="560" w:lineRule="exact"/>
        <w:jc w:val="center"/>
        <w:rPr>
          <w:rFonts w:hint="eastAsia"/>
        </w:rPr>
      </w:pPr>
      <w:r>
        <w:rPr>
          <w:rFonts w:ascii="黑体" w:eastAsia="黑体" w:hAnsi="黑体" w:cs="黑体"/>
          <w:b/>
          <w:color w:val="000000"/>
          <w:sz w:val="44"/>
        </w:rPr>
        <w:lastRenderedPageBreak/>
        <w:t>目    录</w:t>
      </w:r>
    </w:p>
    <w:p w14:paraId="252890DB" w14:textId="77777777" w:rsidR="00CB134D" w:rsidRDefault="006F45B2">
      <w:pPr>
        <w:spacing w:line="560" w:lineRule="exact"/>
        <w:ind w:firstLine="900"/>
        <w:jc w:val="both"/>
        <w:rPr>
          <w:rFonts w:hint="eastAsia"/>
        </w:rPr>
      </w:pPr>
      <w:r>
        <w:rPr>
          <w:rFonts w:ascii="仿宋" w:eastAsia="仿宋" w:hAnsi="仿宋" w:cs="仿宋"/>
          <w:b/>
          <w:color w:val="000000"/>
          <w:sz w:val="30"/>
        </w:rPr>
        <w:t>第一部分  概况</w:t>
      </w:r>
    </w:p>
    <w:p w14:paraId="2049F2B5" w14:textId="77777777" w:rsidR="00CB134D" w:rsidRDefault="006F45B2">
      <w:pPr>
        <w:spacing w:line="560" w:lineRule="exact"/>
        <w:ind w:firstLine="900"/>
        <w:jc w:val="both"/>
        <w:rPr>
          <w:rFonts w:hint="eastAsia"/>
        </w:rPr>
      </w:pPr>
      <w:r>
        <w:rPr>
          <w:rFonts w:ascii="仿宋" w:eastAsia="仿宋" w:hAnsi="仿宋" w:cs="仿宋"/>
          <w:color w:val="000000"/>
          <w:sz w:val="30"/>
        </w:rPr>
        <w:t>一、主要职责</w:t>
      </w:r>
    </w:p>
    <w:p w14:paraId="4FF0D8BA" w14:textId="77777777" w:rsidR="00CB134D" w:rsidRDefault="006F45B2">
      <w:pPr>
        <w:spacing w:line="560" w:lineRule="exact"/>
        <w:ind w:firstLine="900"/>
        <w:jc w:val="both"/>
        <w:rPr>
          <w:rFonts w:hint="eastAsia"/>
        </w:rPr>
      </w:pPr>
      <w:r>
        <w:rPr>
          <w:rFonts w:ascii="仿宋" w:eastAsia="仿宋" w:hAnsi="仿宋" w:cs="仿宋"/>
          <w:color w:val="000000"/>
          <w:sz w:val="30"/>
        </w:rPr>
        <w:t>二、机构设置情况</w:t>
      </w:r>
    </w:p>
    <w:p w14:paraId="65B742A4" w14:textId="77777777" w:rsidR="00CB134D" w:rsidRDefault="006F45B2">
      <w:pPr>
        <w:spacing w:line="560" w:lineRule="exact"/>
        <w:ind w:firstLine="900"/>
        <w:jc w:val="both"/>
        <w:rPr>
          <w:rFonts w:hint="eastAsia"/>
        </w:rPr>
      </w:pPr>
      <w:r>
        <w:rPr>
          <w:rFonts w:ascii="仿宋" w:eastAsia="仿宋" w:hAnsi="仿宋" w:cs="仿宋"/>
          <w:b/>
          <w:color w:val="000000"/>
          <w:sz w:val="30"/>
        </w:rPr>
        <w:t>第二部分  2025年部门情况说明</w:t>
      </w:r>
    </w:p>
    <w:p w14:paraId="42847D12" w14:textId="77777777" w:rsidR="00CB134D" w:rsidRDefault="006F45B2">
      <w:pPr>
        <w:spacing w:line="560" w:lineRule="exact"/>
        <w:ind w:firstLine="900"/>
        <w:jc w:val="both"/>
        <w:rPr>
          <w:rFonts w:hint="eastAsia"/>
        </w:rPr>
      </w:pPr>
      <w:r>
        <w:rPr>
          <w:rFonts w:ascii="仿宋" w:eastAsia="仿宋" w:hAnsi="仿宋" w:cs="仿宋"/>
          <w:color w:val="000000"/>
          <w:sz w:val="30"/>
        </w:rPr>
        <w:t>一、关于收支总体情况表的说明</w:t>
      </w:r>
    </w:p>
    <w:p w14:paraId="6FBF002A" w14:textId="77777777" w:rsidR="00CB134D" w:rsidRDefault="006F45B2">
      <w:pPr>
        <w:spacing w:line="560" w:lineRule="exact"/>
        <w:ind w:firstLine="900"/>
        <w:jc w:val="both"/>
        <w:rPr>
          <w:rFonts w:hint="eastAsia"/>
        </w:rPr>
      </w:pPr>
      <w:r>
        <w:rPr>
          <w:rFonts w:ascii="仿宋" w:eastAsia="仿宋" w:hAnsi="仿宋" w:cs="仿宋"/>
          <w:color w:val="000000"/>
          <w:sz w:val="30"/>
        </w:rPr>
        <w:t>二、关于收入总体情况表的说明</w:t>
      </w:r>
    </w:p>
    <w:p w14:paraId="0D76494A" w14:textId="77777777" w:rsidR="00CB134D" w:rsidRDefault="006F45B2">
      <w:pPr>
        <w:spacing w:line="560" w:lineRule="exact"/>
        <w:ind w:firstLine="900"/>
        <w:jc w:val="both"/>
        <w:rPr>
          <w:rFonts w:hint="eastAsia"/>
        </w:rPr>
      </w:pPr>
      <w:r>
        <w:rPr>
          <w:rFonts w:ascii="仿宋" w:eastAsia="仿宋" w:hAnsi="仿宋" w:cs="仿宋"/>
          <w:color w:val="000000"/>
          <w:sz w:val="30"/>
        </w:rPr>
        <w:t>三、关于支出总体情况表的说明</w:t>
      </w:r>
    </w:p>
    <w:p w14:paraId="0DE66371" w14:textId="77777777" w:rsidR="00CB134D" w:rsidRDefault="006F45B2">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5A81AB6F" w14:textId="77777777" w:rsidR="00CB134D" w:rsidRDefault="006F45B2">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3B9AA2CE" w14:textId="77777777" w:rsidR="00CB134D" w:rsidRDefault="006F45B2">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36649EBD" w14:textId="77777777" w:rsidR="00CB134D" w:rsidRDefault="006F45B2">
      <w:pPr>
        <w:spacing w:line="560" w:lineRule="exact"/>
        <w:ind w:firstLine="900"/>
        <w:jc w:val="both"/>
        <w:rPr>
          <w:rFonts w:hint="eastAsia"/>
        </w:rPr>
      </w:pPr>
      <w:r>
        <w:rPr>
          <w:rFonts w:ascii="仿宋" w:eastAsia="仿宋" w:hAnsi="仿宋" w:cs="仿宋"/>
          <w:color w:val="000000"/>
          <w:sz w:val="30"/>
        </w:rPr>
        <w:t>七、关于一般公共预算“三公”经费支出情况表的说明</w:t>
      </w:r>
    </w:p>
    <w:p w14:paraId="4D2A93B3" w14:textId="77777777" w:rsidR="00CB134D" w:rsidRDefault="006F45B2">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7571081A" w14:textId="77777777" w:rsidR="00CB134D" w:rsidRDefault="006F45B2">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0C50B1A1" w14:textId="77777777" w:rsidR="00CB134D" w:rsidRDefault="006F45B2">
      <w:pPr>
        <w:spacing w:line="560" w:lineRule="exact"/>
        <w:ind w:firstLine="900"/>
        <w:jc w:val="both"/>
        <w:rPr>
          <w:rFonts w:hint="eastAsia"/>
        </w:rPr>
      </w:pPr>
      <w:r>
        <w:rPr>
          <w:rFonts w:ascii="仿宋" w:eastAsia="仿宋" w:hAnsi="仿宋" w:cs="仿宋"/>
          <w:color w:val="000000"/>
          <w:sz w:val="30"/>
        </w:rPr>
        <w:t>十、其他重要事项的情况说明</w:t>
      </w:r>
    </w:p>
    <w:p w14:paraId="0EBB1B6C" w14:textId="77777777" w:rsidR="00CB134D" w:rsidRDefault="006F45B2">
      <w:pPr>
        <w:spacing w:line="560" w:lineRule="exact"/>
        <w:ind w:firstLine="900"/>
        <w:jc w:val="both"/>
        <w:rPr>
          <w:rFonts w:hint="eastAsia"/>
        </w:rPr>
      </w:pPr>
      <w:r>
        <w:rPr>
          <w:rFonts w:ascii="仿宋" w:eastAsia="仿宋" w:hAnsi="仿宋" w:cs="仿宋"/>
          <w:b/>
          <w:color w:val="000000"/>
          <w:sz w:val="30"/>
        </w:rPr>
        <w:t>第三部分  名词解释</w:t>
      </w:r>
    </w:p>
    <w:p w14:paraId="3B17BEF9" w14:textId="77777777" w:rsidR="00CB134D" w:rsidRDefault="006F45B2">
      <w:pPr>
        <w:spacing w:line="560" w:lineRule="exact"/>
        <w:ind w:firstLine="900"/>
        <w:jc w:val="both"/>
        <w:rPr>
          <w:rFonts w:hint="eastAsia"/>
        </w:rPr>
      </w:pPr>
      <w:r>
        <w:rPr>
          <w:rFonts w:ascii="仿宋" w:eastAsia="仿宋" w:hAnsi="仿宋" w:cs="仿宋"/>
          <w:b/>
          <w:color w:val="000000"/>
          <w:sz w:val="30"/>
        </w:rPr>
        <w:t>第四部分  2025年部门预算表</w:t>
      </w:r>
    </w:p>
    <w:p w14:paraId="19062DE7" w14:textId="77777777" w:rsidR="00CB134D" w:rsidRDefault="006F45B2">
      <w:pPr>
        <w:spacing w:line="560" w:lineRule="exact"/>
        <w:ind w:firstLine="900"/>
        <w:jc w:val="both"/>
        <w:rPr>
          <w:rFonts w:hint="eastAsia"/>
        </w:rPr>
      </w:pPr>
      <w:r>
        <w:rPr>
          <w:rFonts w:ascii="仿宋" w:eastAsia="仿宋" w:hAnsi="仿宋" w:cs="仿宋"/>
          <w:color w:val="000000"/>
          <w:sz w:val="30"/>
        </w:rPr>
        <w:t>一、部门收支总体情况表</w:t>
      </w:r>
    </w:p>
    <w:p w14:paraId="1D1BA96C" w14:textId="77777777" w:rsidR="00CB134D" w:rsidRDefault="006F45B2">
      <w:pPr>
        <w:spacing w:line="560" w:lineRule="exact"/>
        <w:ind w:firstLine="900"/>
        <w:jc w:val="both"/>
        <w:rPr>
          <w:rFonts w:hint="eastAsia"/>
        </w:rPr>
      </w:pPr>
      <w:r>
        <w:rPr>
          <w:rFonts w:ascii="仿宋" w:eastAsia="仿宋" w:hAnsi="仿宋" w:cs="仿宋"/>
          <w:color w:val="000000"/>
          <w:sz w:val="30"/>
        </w:rPr>
        <w:t>二、部门收入总体情况表</w:t>
      </w:r>
    </w:p>
    <w:p w14:paraId="493F580B" w14:textId="77777777" w:rsidR="00CB134D" w:rsidRDefault="006F45B2">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1E218699" w14:textId="77777777" w:rsidR="00CB134D" w:rsidRDefault="006F45B2">
      <w:pPr>
        <w:spacing w:line="560" w:lineRule="exact"/>
        <w:ind w:firstLine="900"/>
        <w:jc w:val="both"/>
        <w:rPr>
          <w:rFonts w:hint="eastAsia"/>
        </w:rPr>
      </w:pPr>
      <w:r>
        <w:rPr>
          <w:rFonts w:ascii="仿宋" w:eastAsia="仿宋" w:hAnsi="仿宋" w:cs="仿宋"/>
          <w:color w:val="000000"/>
          <w:sz w:val="30"/>
        </w:rPr>
        <w:t>四、财政拨款收支总体情况表</w:t>
      </w:r>
    </w:p>
    <w:p w14:paraId="073564F1" w14:textId="77777777" w:rsidR="00CB134D" w:rsidRDefault="006F45B2">
      <w:pPr>
        <w:spacing w:line="560" w:lineRule="exact"/>
        <w:ind w:firstLine="900"/>
        <w:jc w:val="both"/>
        <w:rPr>
          <w:rFonts w:hint="eastAsia"/>
        </w:rPr>
      </w:pPr>
      <w:r>
        <w:rPr>
          <w:rFonts w:ascii="仿宋" w:eastAsia="仿宋" w:hAnsi="仿宋" w:cs="仿宋"/>
          <w:color w:val="000000"/>
          <w:sz w:val="30"/>
        </w:rPr>
        <w:t>五、一般公共预算支出情况表</w:t>
      </w:r>
    </w:p>
    <w:p w14:paraId="266E1E5C" w14:textId="77777777" w:rsidR="00CB134D" w:rsidRDefault="006F45B2">
      <w:pPr>
        <w:spacing w:line="560" w:lineRule="exact"/>
        <w:ind w:firstLine="900"/>
        <w:jc w:val="both"/>
        <w:rPr>
          <w:rFonts w:hint="eastAsia"/>
        </w:rPr>
      </w:pPr>
      <w:r>
        <w:rPr>
          <w:rFonts w:ascii="仿宋" w:eastAsia="仿宋" w:hAnsi="仿宋" w:cs="仿宋"/>
          <w:color w:val="000000"/>
          <w:sz w:val="30"/>
        </w:rPr>
        <w:t>六、一般公共预算基本支出情况表</w:t>
      </w:r>
    </w:p>
    <w:p w14:paraId="698F7AB9" w14:textId="77777777" w:rsidR="00CB134D" w:rsidRDefault="006F45B2">
      <w:pPr>
        <w:spacing w:line="560" w:lineRule="exact"/>
        <w:ind w:firstLine="900"/>
        <w:jc w:val="both"/>
        <w:rPr>
          <w:rFonts w:hint="eastAsia"/>
        </w:rPr>
      </w:pPr>
      <w:r>
        <w:rPr>
          <w:rFonts w:ascii="仿宋" w:eastAsia="仿宋" w:hAnsi="仿宋" w:cs="仿宋"/>
          <w:color w:val="000000"/>
          <w:sz w:val="30"/>
        </w:rPr>
        <w:t>七、一般公共预算“三公”经费支出情况表</w:t>
      </w:r>
    </w:p>
    <w:p w14:paraId="4063FA1A" w14:textId="77777777" w:rsidR="00CB134D" w:rsidRDefault="006F45B2">
      <w:pPr>
        <w:spacing w:line="560" w:lineRule="exact"/>
        <w:ind w:firstLine="900"/>
        <w:jc w:val="both"/>
        <w:rPr>
          <w:rFonts w:hint="eastAsia"/>
        </w:rPr>
      </w:pPr>
      <w:r>
        <w:rPr>
          <w:rFonts w:ascii="仿宋" w:eastAsia="仿宋" w:hAnsi="仿宋" w:cs="仿宋"/>
          <w:color w:val="000000"/>
          <w:sz w:val="30"/>
        </w:rPr>
        <w:t>八、政府性基金预算支出情况表</w:t>
      </w:r>
    </w:p>
    <w:p w14:paraId="567E8AB1" w14:textId="77777777" w:rsidR="00CB134D" w:rsidRDefault="006F45B2">
      <w:pPr>
        <w:spacing w:line="560" w:lineRule="exact"/>
        <w:ind w:firstLine="900"/>
        <w:jc w:val="both"/>
        <w:rPr>
          <w:rFonts w:hint="eastAsia"/>
        </w:rPr>
      </w:pPr>
      <w:r>
        <w:rPr>
          <w:rFonts w:ascii="仿宋" w:eastAsia="仿宋" w:hAnsi="仿宋" w:cs="仿宋"/>
          <w:color w:val="000000"/>
          <w:sz w:val="30"/>
        </w:rPr>
        <w:t>九、国有资本经营预算支出情况表</w:t>
      </w:r>
    </w:p>
    <w:p w14:paraId="4F9B7A92" w14:textId="77777777" w:rsidR="00CB134D" w:rsidRDefault="006F45B2">
      <w:pPr>
        <w:spacing w:line="560" w:lineRule="exact"/>
        <w:ind w:firstLine="900"/>
        <w:jc w:val="both"/>
        <w:rPr>
          <w:rFonts w:hint="eastAsia"/>
        </w:rPr>
      </w:pPr>
      <w:r>
        <w:rPr>
          <w:rFonts w:ascii="仿宋" w:eastAsia="仿宋" w:hAnsi="仿宋" w:cs="仿宋"/>
          <w:color w:val="000000"/>
          <w:sz w:val="30"/>
        </w:rPr>
        <w:t>十、项目支出表</w:t>
      </w:r>
    </w:p>
    <w:p w14:paraId="1ABA1DD1" w14:textId="77777777" w:rsidR="00CB134D" w:rsidRDefault="006F45B2">
      <w:pPr>
        <w:spacing w:line="560" w:lineRule="exact"/>
        <w:ind w:firstLine="900"/>
        <w:jc w:val="both"/>
        <w:rPr>
          <w:rFonts w:hint="eastAsia"/>
        </w:rPr>
      </w:pPr>
      <w:r>
        <w:rPr>
          <w:rFonts w:ascii="仿宋" w:eastAsia="仿宋" w:hAnsi="仿宋" w:cs="仿宋"/>
          <w:color w:val="000000"/>
          <w:sz w:val="30"/>
        </w:rPr>
        <w:t>十一、关于空表的说明</w:t>
      </w:r>
    </w:p>
    <w:p w14:paraId="7116882E" w14:textId="77777777" w:rsidR="00CB134D" w:rsidRDefault="006F45B2">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 概况</w:t>
      </w:r>
    </w:p>
    <w:p w14:paraId="087341D4" w14:textId="77777777" w:rsidR="00CB134D" w:rsidRDefault="006F45B2">
      <w:pPr>
        <w:spacing w:line="560" w:lineRule="exact"/>
        <w:ind w:firstLine="600"/>
        <w:jc w:val="both"/>
        <w:rPr>
          <w:rFonts w:hint="eastAsia"/>
        </w:rPr>
      </w:pPr>
      <w:r>
        <w:rPr>
          <w:rFonts w:ascii="黑体" w:eastAsia="黑体" w:hAnsi="黑体" w:cs="黑体"/>
          <w:b/>
          <w:color w:val="353232"/>
          <w:sz w:val="30"/>
        </w:rPr>
        <w:t>一、主要职责</w:t>
      </w:r>
    </w:p>
    <w:p w14:paraId="48CC927B" w14:textId="77777777" w:rsidR="002F4D06" w:rsidRDefault="006F45B2">
      <w:pPr>
        <w:spacing w:line="560" w:lineRule="exact"/>
        <w:ind w:firstLine="600"/>
        <w:jc w:val="both"/>
        <w:rPr>
          <w:rFonts w:ascii="仿宋" w:eastAsia="仿宋" w:hAnsi="仿宋" w:cs="仿宋" w:hint="eastAsia"/>
          <w:color w:val="000000"/>
          <w:sz w:val="30"/>
        </w:rPr>
      </w:pPr>
      <w:r>
        <w:rPr>
          <w:rFonts w:ascii="仿宋" w:eastAsia="仿宋" w:hAnsi="仿宋" w:cs="仿宋"/>
          <w:color w:val="000000"/>
          <w:sz w:val="30"/>
        </w:rPr>
        <w:t xml:space="preserve">1.负责全区招商引资工作的综合统筹，牵头建设全区投资促进工作体系。牵头贯彻落实招商投资有关法规、规章和规范性文件。拟订全区内外招商投资的相关发展规划和年度计划，并组织实施。    </w:t>
      </w:r>
    </w:p>
    <w:p w14:paraId="2315338F" w14:textId="77777777" w:rsidR="002F4D06" w:rsidRDefault="006F45B2">
      <w:pPr>
        <w:spacing w:line="560" w:lineRule="exact"/>
        <w:ind w:firstLine="600"/>
        <w:jc w:val="both"/>
        <w:rPr>
          <w:rFonts w:ascii="仿宋" w:eastAsia="仿宋" w:hAnsi="仿宋" w:cs="仿宋" w:hint="eastAsia"/>
          <w:color w:val="000000"/>
          <w:sz w:val="30"/>
        </w:rPr>
      </w:pPr>
      <w:r>
        <w:rPr>
          <w:rFonts w:ascii="仿宋" w:eastAsia="仿宋" w:hAnsi="仿宋" w:cs="仿宋"/>
          <w:color w:val="000000"/>
          <w:sz w:val="30"/>
        </w:rPr>
        <w:t>2.牵头落实全市招商综合政策措施，组织拟订全区招商投资综合政策措施并推动实施，参与全区产业政策的研究和制定工作，协调有关行业主管部门出台招商投资支撑政策。建立招商投资政策信息清单，为招商投资项目提供精准政策服务。</w:t>
      </w:r>
      <w:r>
        <w:rPr>
          <w:rFonts w:ascii="仿宋" w:eastAsia="仿宋" w:hAnsi="仿宋" w:cs="仿宋"/>
          <w:color w:val="000000"/>
          <w:sz w:val="30"/>
        </w:rPr>
        <w:br/>
        <w:t xml:space="preserve">    3.建立招商投资项目库、信息库和行业要素资源信息库，结合区域发展优势、产业布局、功能区定位等，组织编制投资指南，并推广宣传，为投资者提供指引。建立服务重点企业“白名单”，挖掘行业资源，建立产业生态，持续推动新项目落地。    </w:t>
      </w:r>
    </w:p>
    <w:p w14:paraId="50B1ACB3" w14:textId="77777777" w:rsidR="001737B8" w:rsidRDefault="006F45B2" w:rsidP="001737B8">
      <w:pPr>
        <w:spacing w:line="560" w:lineRule="exact"/>
        <w:ind w:firstLine="600"/>
        <w:jc w:val="both"/>
        <w:rPr>
          <w:rFonts w:ascii="仿宋" w:eastAsia="仿宋" w:hAnsi="仿宋" w:cs="仿宋"/>
          <w:color w:val="000000"/>
          <w:sz w:val="30"/>
        </w:rPr>
      </w:pPr>
      <w:r>
        <w:rPr>
          <w:rFonts w:ascii="仿宋" w:eastAsia="仿宋" w:hAnsi="仿宋" w:cs="仿宋"/>
          <w:color w:val="000000"/>
          <w:sz w:val="30"/>
        </w:rPr>
        <w:t>4.组织建立健全招商投资项目全生命周期服务制度，组织建立招商投资项目服务专员队伍，协调推动各街镇、各部门和区管各国有平台公司实现招商投资重点项目生成、签约、落地、开工、投产、达效以及经营运行等全生命周期跟踪服务。协调推动各部门建立服务管家工作机制，牵头做好我区招商投资服务工作，配置重点行业管家，专人负责日常联络，帮助解决遇到的问题。</w:t>
      </w:r>
    </w:p>
    <w:p w14:paraId="34C2BA29" w14:textId="77777777" w:rsidR="001737B8" w:rsidRDefault="006F45B2" w:rsidP="001737B8">
      <w:pPr>
        <w:spacing w:line="560" w:lineRule="exact"/>
        <w:ind w:firstLine="600"/>
        <w:jc w:val="both"/>
        <w:rPr>
          <w:rFonts w:ascii="仿宋" w:eastAsia="仿宋" w:hAnsi="仿宋" w:cs="仿宋"/>
          <w:color w:val="000000"/>
          <w:sz w:val="30"/>
        </w:rPr>
      </w:pPr>
      <w:r>
        <w:rPr>
          <w:rFonts w:ascii="仿宋" w:eastAsia="仿宋" w:hAnsi="仿宋" w:cs="仿宋"/>
          <w:color w:val="000000"/>
          <w:sz w:val="30"/>
        </w:rPr>
        <w:t>5.统筹协调和指导各街镇、各部门和区管各国有平台公司</w:t>
      </w:r>
      <w:r>
        <w:rPr>
          <w:rFonts w:ascii="仿宋" w:eastAsia="仿宋" w:hAnsi="仿宋" w:cs="仿宋"/>
          <w:color w:val="000000"/>
          <w:sz w:val="30"/>
        </w:rPr>
        <w:lastRenderedPageBreak/>
        <w:t>加强对企业在政策、场景、资金、人才等方面的支持，做好招商投资工作。牵头建立各街镇、各部门和区管国有平台公司招商投资协同联动工作机制、招商投资同质化竞争调处机制、跨区域合作项目利益共享机制等，规范全区招商投资工作秩序。</w:t>
      </w:r>
    </w:p>
    <w:p w14:paraId="19FF2A16" w14:textId="77777777" w:rsidR="001737B8" w:rsidRDefault="006F45B2" w:rsidP="001737B8">
      <w:pPr>
        <w:spacing w:line="560" w:lineRule="exact"/>
        <w:ind w:firstLine="600"/>
        <w:jc w:val="both"/>
        <w:rPr>
          <w:rFonts w:ascii="仿宋" w:eastAsia="仿宋" w:hAnsi="仿宋" w:cs="仿宋"/>
          <w:color w:val="000000"/>
          <w:sz w:val="30"/>
        </w:rPr>
      </w:pPr>
      <w:r>
        <w:rPr>
          <w:rFonts w:ascii="仿宋" w:eastAsia="仿宋" w:hAnsi="仿宋" w:cs="仿宋"/>
          <w:color w:val="000000"/>
          <w:sz w:val="30"/>
        </w:rPr>
        <w:t>6.负责全区招商投资信息的汇总、发布和服务。推动落实招商投资信息网络建设有关工作。组织开展全区性招商活动。组织宣传推介全区招商投资政策、环境和重大招商项目等。加强与国际、国内专业机构、外地驻津商会联络，拓宽招商投资渠道，挖掘重大项目投资信息，指导各街镇、各部门和区管各国有平台公司推动项目落地</w:t>
      </w:r>
      <w:r w:rsidR="001737B8">
        <w:rPr>
          <w:rFonts w:ascii="仿宋" w:eastAsia="仿宋" w:hAnsi="仿宋" w:cs="仿宋" w:hint="eastAsia"/>
          <w:color w:val="000000"/>
          <w:sz w:val="30"/>
        </w:rPr>
        <w:t>。</w:t>
      </w:r>
    </w:p>
    <w:p w14:paraId="411B9366" w14:textId="77777777" w:rsidR="001737B8" w:rsidRDefault="006F45B2" w:rsidP="001737B8">
      <w:pPr>
        <w:spacing w:line="560" w:lineRule="exact"/>
        <w:ind w:firstLine="600"/>
        <w:jc w:val="both"/>
        <w:rPr>
          <w:rFonts w:ascii="仿宋" w:eastAsia="仿宋" w:hAnsi="仿宋" w:cs="仿宋"/>
          <w:color w:val="000000"/>
          <w:sz w:val="30"/>
        </w:rPr>
      </w:pPr>
      <w:r>
        <w:rPr>
          <w:rFonts w:ascii="仿宋" w:eastAsia="仿宋" w:hAnsi="仿宋" w:cs="仿宋"/>
          <w:color w:val="000000"/>
          <w:sz w:val="30"/>
        </w:rPr>
        <w:t>7.负责全区招商投资年度目标任务的分解、检查、督促、统计。牵头组织对各街镇、各行业主管部门和区管各国有平台公司招商投资工作的评价考核和情况通报，组织建立招商工作奖惩机制。对优化营商环境提出政策建议。</w:t>
      </w:r>
    </w:p>
    <w:p w14:paraId="394F2DF7" w14:textId="77777777" w:rsidR="001737B8" w:rsidRDefault="006F45B2" w:rsidP="001737B8">
      <w:pPr>
        <w:spacing w:line="560" w:lineRule="exact"/>
        <w:ind w:firstLine="600"/>
        <w:jc w:val="both"/>
        <w:rPr>
          <w:rFonts w:ascii="仿宋" w:eastAsia="仿宋" w:hAnsi="仿宋" w:cs="仿宋"/>
          <w:color w:val="000000"/>
          <w:sz w:val="30"/>
        </w:rPr>
      </w:pPr>
      <w:r>
        <w:rPr>
          <w:rFonts w:ascii="仿宋" w:eastAsia="仿宋" w:hAnsi="仿宋" w:cs="仿宋"/>
          <w:color w:val="000000"/>
          <w:sz w:val="30"/>
        </w:rPr>
        <w:t>8.承担区政府招商投资活动的有关协调联络和服务保障工作，推动、协调有关会议纪要、协议的落实工作。服务协调推动区级重大招商项目。</w:t>
      </w:r>
    </w:p>
    <w:p w14:paraId="41996268" w14:textId="77777777" w:rsidR="001737B8" w:rsidRDefault="006F45B2" w:rsidP="001737B8">
      <w:pPr>
        <w:spacing w:line="560" w:lineRule="exact"/>
        <w:ind w:firstLine="600"/>
        <w:jc w:val="both"/>
        <w:rPr>
          <w:rFonts w:ascii="仿宋" w:eastAsia="仿宋" w:hAnsi="仿宋" w:cs="仿宋"/>
          <w:color w:val="000000"/>
          <w:sz w:val="30"/>
        </w:rPr>
      </w:pPr>
      <w:r>
        <w:rPr>
          <w:rFonts w:ascii="仿宋" w:eastAsia="仿宋" w:hAnsi="仿宋" w:cs="仿宋"/>
          <w:color w:val="000000"/>
          <w:sz w:val="30"/>
        </w:rPr>
        <w:t>9.负责与省（市）、县（区）以上政府驻津办事机构的联系、协调工作。</w:t>
      </w:r>
    </w:p>
    <w:p w14:paraId="0D6EC94F" w14:textId="28F7B2F6" w:rsidR="002F4D06" w:rsidRDefault="006F45B2" w:rsidP="001737B8">
      <w:pPr>
        <w:spacing w:line="560" w:lineRule="exact"/>
        <w:ind w:firstLine="600"/>
        <w:jc w:val="both"/>
        <w:rPr>
          <w:rFonts w:ascii="仿宋" w:eastAsia="仿宋" w:hAnsi="仿宋" w:cs="仿宋" w:hint="eastAsia"/>
          <w:color w:val="000000"/>
          <w:sz w:val="30"/>
        </w:rPr>
      </w:pPr>
      <w:r>
        <w:rPr>
          <w:rFonts w:ascii="仿宋" w:eastAsia="仿宋" w:hAnsi="仿宋" w:cs="仿宋"/>
          <w:color w:val="000000"/>
          <w:sz w:val="30"/>
        </w:rPr>
        <w:t xml:space="preserve">10.指导全区招商投资队伍建设，制定业务培训计划并组织实施。建设招商投资人才库，推动开展招商投资人才储备和岗位交流。    </w:t>
      </w:r>
    </w:p>
    <w:p w14:paraId="48B111E5" w14:textId="6136C6A0" w:rsidR="00CB134D" w:rsidRDefault="006F45B2">
      <w:pPr>
        <w:spacing w:line="560" w:lineRule="exact"/>
        <w:ind w:firstLine="600"/>
        <w:jc w:val="both"/>
        <w:rPr>
          <w:rFonts w:hint="eastAsia"/>
        </w:rPr>
      </w:pPr>
      <w:r>
        <w:rPr>
          <w:rFonts w:ascii="仿宋" w:eastAsia="仿宋" w:hAnsi="仿宋" w:cs="仿宋"/>
          <w:color w:val="000000"/>
          <w:sz w:val="30"/>
        </w:rPr>
        <w:t>11.承办区委、区政府交办的其他工作。</w:t>
      </w:r>
    </w:p>
    <w:p w14:paraId="4C085AA7" w14:textId="77777777" w:rsidR="00CB134D" w:rsidRDefault="006F45B2">
      <w:pPr>
        <w:spacing w:line="560" w:lineRule="exact"/>
        <w:ind w:firstLine="600"/>
        <w:jc w:val="both"/>
        <w:rPr>
          <w:rFonts w:hint="eastAsia"/>
        </w:rPr>
      </w:pPr>
      <w:r>
        <w:rPr>
          <w:rFonts w:ascii="黑体" w:eastAsia="黑体" w:hAnsi="黑体" w:cs="黑体"/>
          <w:b/>
          <w:color w:val="000000"/>
          <w:sz w:val="30"/>
        </w:rPr>
        <w:lastRenderedPageBreak/>
        <w:t>二、机构设置情况</w:t>
      </w:r>
    </w:p>
    <w:p w14:paraId="778A980C" w14:textId="77777777" w:rsidR="00CB134D" w:rsidRDefault="006F45B2">
      <w:pPr>
        <w:spacing w:line="560" w:lineRule="exact"/>
        <w:ind w:firstLine="600"/>
        <w:jc w:val="both"/>
        <w:rPr>
          <w:rFonts w:hint="eastAsia"/>
        </w:rPr>
      </w:pPr>
      <w:r>
        <w:rPr>
          <w:rFonts w:ascii="仿宋" w:eastAsia="仿宋" w:hAnsi="仿宋" w:cs="仿宋"/>
          <w:color w:val="000000"/>
          <w:sz w:val="30"/>
        </w:rPr>
        <w:t>天津市西青区投资促进局部门内设3个职能科室；下辖3个预算单位。</w:t>
      </w:r>
    </w:p>
    <w:p w14:paraId="1AF80D55" w14:textId="77777777" w:rsidR="00CB134D" w:rsidRDefault="006F45B2">
      <w:pPr>
        <w:spacing w:line="560" w:lineRule="exact"/>
        <w:ind w:firstLine="600"/>
        <w:jc w:val="both"/>
        <w:rPr>
          <w:rFonts w:hint="eastAsia"/>
        </w:rPr>
      </w:pPr>
      <w:r>
        <w:rPr>
          <w:rFonts w:ascii="仿宋" w:eastAsia="仿宋" w:hAnsi="仿宋" w:cs="仿宋"/>
          <w:color w:val="000000"/>
          <w:sz w:val="30"/>
        </w:rPr>
        <w:t>纳入天津市西青区投资促进局部门2025年部门预算编制范围的预算单位包括：</w:t>
      </w:r>
    </w:p>
    <w:p w14:paraId="39242ADB" w14:textId="77777777" w:rsidR="00CB134D" w:rsidRDefault="006F45B2">
      <w:pPr>
        <w:spacing w:line="560" w:lineRule="exact"/>
        <w:ind w:firstLine="600"/>
        <w:jc w:val="both"/>
        <w:rPr>
          <w:rFonts w:hint="eastAsia"/>
        </w:rPr>
      </w:pPr>
      <w:r>
        <w:rPr>
          <w:rFonts w:ascii="仿宋" w:eastAsia="仿宋" w:hAnsi="仿宋" w:cs="仿宋"/>
          <w:color w:val="000000"/>
          <w:sz w:val="30"/>
        </w:rPr>
        <w:t>1.天津市西青区投资促进局</w:t>
      </w:r>
    </w:p>
    <w:p w14:paraId="3B8CD725" w14:textId="77777777" w:rsidR="00CB134D" w:rsidRDefault="006F45B2">
      <w:pPr>
        <w:spacing w:line="560" w:lineRule="exact"/>
        <w:ind w:firstLine="600"/>
        <w:jc w:val="both"/>
        <w:rPr>
          <w:rFonts w:hint="eastAsia"/>
        </w:rPr>
      </w:pPr>
      <w:r>
        <w:rPr>
          <w:rFonts w:ascii="仿宋" w:eastAsia="仿宋" w:hAnsi="仿宋" w:cs="仿宋"/>
          <w:color w:val="000000"/>
          <w:sz w:val="30"/>
        </w:rPr>
        <w:t>2.天津市西青区项目服务中心</w:t>
      </w:r>
    </w:p>
    <w:p w14:paraId="25267A23" w14:textId="77777777" w:rsidR="00CB134D" w:rsidRDefault="006F45B2">
      <w:pPr>
        <w:spacing w:line="560" w:lineRule="exact"/>
        <w:ind w:firstLine="600"/>
        <w:jc w:val="both"/>
        <w:rPr>
          <w:rFonts w:hint="eastAsia"/>
        </w:rPr>
      </w:pPr>
      <w:r>
        <w:rPr>
          <w:rFonts w:ascii="仿宋" w:eastAsia="仿宋" w:hAnsi="仿宋" w:cs="仿宋"/>
          <w:color w:val="000000"/>
          <w:sz w:val="30"/>
        </w:rPr>
        <w:t>3.天津市西青区投资促进中心</w:t>
      </w:r>
    </w:p>
    <w:p w14:paraId="5028666F" w14:textId="77777777" w:rsidR="00CB134D" w:rsidRDefault="006F45B2">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  2025年度部门预算情况说明</w:t>
      </w:r>
    </w:p>
    <w:p w14:paraId="38EE825F" w14:textId="77777777" w:rsidR="00CB134D" w:rsidRDefault="006F45B2">
      <w:pPr>
        <w:spacing w:line="560" w:lineRule="exact"/>
        <w:ind w:firstLine="600"/>
        <w:jc w:val="both"/>
        <w:rPr>
          <w:rFonts w:hint="eastAsia"/>
        </w:rPr>
      </w:pPr>
      <w:r>
        <w:rPr>
          <w:rFonts w:ascii="黑体" w:eastAsia="黑体" w:hAnsi="黑体" w:cs="黑体"/>
          <w:b/>
          <w:color w:val="000000"/>
          <w:sz w:val="30"/>
        </w:rPr>
        <w:t>一、关于收支总体情况表的说明</w:t>
      </w:r>
    </w:p>
    <w:p w14:paraId="310C4C61" w14:textId="77777777" w:rsidR="00CB134D" w:rsidRDefault="006F45B2">
      <w:pPr>
        <w:spacing w:line="560" w:lineRule="exact"/>
        <w:ind w:firstLine="600"/>
        <w:jc w:val="both"/>
        <w:rPr>
          <w:rFonts w:hint="eastAsia"/>
        </w:rPr>
      </w:pPr>
      <w:r>
        <w:rPr>
          <w:rFonts w:ascii="仿宋" w:eastAsia="仿宋" w:hAnsi="仿宋" w:cs="仿宋"/>
          <w:color w:val="000000"/>
          <w:sz w:val="30"/>
        </w:rPr>
        <w:t>按照综合预算的原则，天津市西青区投资促进局部门所有收入和支出均纳入部门预算管理。收入包括：一般公共预算拨款收入21,447.88万元、政府性基金预算拨款收入0万元、国有资本经营预算拨款收入0万元、财政专户管理资金收入0万元、事业收入0万元、事业单位经营收入0万元、上级补助收入0万元、附属单位上缴收入0万元、其他收入0万元、上年结转结余0万元；支出包括：商业服务业等支出19,100.00万元、教育支出0.35万元、社会保障和就业支出61.26万元、一般公共服务支出2,256.98万元、卫生健康支出29.28万元。天津市西青区投资促进局部门2025年收支总预算21,447.88万元。</w:t>
      </w:r>
    </w:p>
    <w:p w14:paraId="3FDB0539" w14:textId="77777777" w:rsidR="00CB134D" w:rsidRDefault="006F45B2">
      <w:pPr>
        <w:spacing w:line="560" w:lineRule="exact"/>
        <w:ind w:firstLine="600"/>
        <w:jc w:val="both"/>
        <w:rPr>
          <w:rFonts w:hint="eastAsia"/>
        </w:rPr>
      </w:pPr>
      <w:r>
        <w:rPr>
          <w:rFonts w:ascii="黑体" w:eastAsia="黑体" w:hAnsi="黑体" w:cs="黑体"/>
          <w:b/>
          <w:color w:val="000000"/>
          <w:sz w:val="30"/>
        </w:rPr>
        <w:t>二、关于收入总体情况表的说明</w:t>
      </w:r>
    </w:p>
    <w:p w14:paraId="50642955" w14:textId="77777777" w:rsidR="00CB134D" w:rsidRDefault="006F45B2">
      <w:pPr>
        <w:spacing w:line="560" w:lineRule="exact"/>
        <w:ind w:firstLine="600"/>
        <w:jc w:val="both"/>
        <w:rPr>
          <w:rFonts w:hint="eastAsia"/>
        </w:rPr>
      </w:pPr>
      <w:r>
        <w:rPr>
          <w:rFonts w:ascii="仿宋" w:eastAsia="仿宋" w:hAnsi="仿宋" w:cs="仿宋"/>
          <w:color w:val="000000"/>
          <w:sz w:val="30"/>
        </w:rPr>
        <w:t>天津市西青区投资促进局部门2025年部门预算收入21,447.88万元，与上年预算相比增加19,418.75万元，主要原因是按照承接重点工作情况，增加相应重点项目预算。其中：上年结转结余0万元，占0%；一般公共预算21,447.88万元，占100.00%；政府性基金预算0万元，占0%；国有资本经营预算0万元，占0%；财政专户管理资金0万元，占0%；事业收入0万元，占0%；事业单位经营收入0万元，占0%；上级补助收入0万元，占0%；附属单位上缴收入0万元，占0%；其他收入0万元，占0%。</w:t>
      </w:r>
    </w:p>
    <w:p w14:paraId="2D92829D" w14:textId="77777777" w:rsidR="00CB134D" w:rsidRDefault="006F45B2">
      <w:pPr>
        <w:spacing w:line="560" w:lineRule="exact"/>
        <w:ind w:firstLine="600"/>
        <w:jc w:val="both"/>
        <w:rPr>
          <w:rFonts w:hint="eastAsia"/>
        </w:rPr>
      </w:pPr>
      <w:r>
        <w:rPr>
          <w:rFonts w:ascii="黑体" w:eastAsia="黑体" w:hAnsi="黑体" w:cs="黑体"/>
          <w:b/>
          <w:color w:val="000000"/>
          <w:sz w:val="30"/>
        </w:rPr>
        <w:t>三、关于支出总体情况表的说明</w:t>
      </w:r>
    </w:p>
    <w:p w14:paraId="68A9879E" w14:textId="77777777" w:rsidR="00CB134D" w:rsidRDefault="006F45B2">
      <w:pPr>
        <w:spacing w:line="560" w:lineRule="exact"/>
        <w:ind w:firstLine="600"/>
        <w:jc w:val="both"/>
        <w:rPr>
          <w:rFonts w:hint="eastAsia"/>
        </w:rPr>
      </w:pPr>
      <w:r>
        <w:rPr>
          <w:rFonts w:ascii="仿宋" w:eastAsia="仿宋" w:hAnsi="仿宋" w:cs="仿宋"/>
          <w:color w:val="000000"/>
          <w:sz w:val="30"/>
        </w:rPr>
        <w:lastRenderedPageBreak/>
        <w:t>天津市西青区投资促进局部门2025年支出预算21,447.88万元，与上年预算相比增加19,418.75万元，主要原因是按照承接重点工作情况，增加相应重点项目预算。其中：基本支出597.88万元，占2.79%；项目支出20,850.00万元，占97.21%；事业单位经营支出0万元，占0%；上缴上级支出0万元，占0%；对附属单位补助支出0万元，占0%。</w:t>
      </w:r>
    </w:p>
    <w:p w14:paraId="4AC49649" w14:textId="77777777" w:rsidR="00CB134D" w:rsidRDefault="006F45B2">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72C638D8" w14:textId="77777777" w:rsidR="00CB134D" w:rsidRDefault="006F45B2">
      <w:pPr>
        <w:spacing w:line="560" w:lineRule="exact"/>
        <w:ind w:firstLine="600"/>
        <w:jc w:val="both"/>
        <w:rPr>
          <w:rFonts w:hint="eastAsia"/>
        </w:rPr>
      </w:pPr>
      <w:r>
        <w:rPr>
          <w:rFonts w:ascii="仿宋" w:eastAsia="仿宋" w:hAnsi="仿宋" w:cs="仿宋"/>
          <w:color w:val="000000"/>
          <w:sz w:val="30"/>
        </w:rPr>
        <w:t>天津市西青区投资促进局部门2025年财政拨款收入预算21,447.88万元，与上年预算相比增加19,418.75万元，主要原因是按照承接重点工作情况，增加相应重点项目预算。收入包括：一般公共预算拨款收入21,447.88万元、政府性基金预算拨款收入0万元、上年财政结转结余0万元、国有资本经营预算拨款收入0万元、2025年财政拨款支出预算21,447.88万元，与上年预算相比增加19,418.75万元，主要原因是按照承接重点工作情况，增加相应重点项目预算。支出包括：一般公共服务支出2,256.98万元 ；教育支出0.35万元 ；社会保障和就业支出61.26万元 ；卫生健康支出29.28万元 ；商业服务业等支出19,100.00万元。</w:t>
      </w:r>
    </w:p>
    <w:p w14:paraId="397FBDDD" w14:textId="77777777" w:rsidR="00CB134D" w:rsidRDefault="006F45B2">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74A3A9D0" w14:textId="77777777" w:rsidR="00CB134D" w:rsidRDefault="006F45B2">
      <w:pPr>
        <w:spacing w:line="560" w:lineRule="exact"/>
        <w:ind w:firstLine="600"/>
        <w:jc w:val="both"/>
        <w:rPr>
          <w:rFonts w:hint="eastAsia"/>
        </w:rPr>
      </w:pPr>
      <w:r>
        <w:rPr>
          <w:rFonts w:ascii="楷体" w:eastAsia="楷体" w:hAnsi="楷体" w:cs="楷体"/>
          <w:b/>
          <w:color w:val="000000"/>
          <w:sz w:val="30"/>
        </w:rPr>
        <w:t>（一）总体情况</w:t>
      </w:r>
    </w:p>
    <w:p w14:paraId="45B68B4C" w14:textId="77777777" w:rsidR="00CB134D" w:rsidRDefault="006F45B2">
      <w:pPr>
        <w:spacing w:line="560" w:lineRule="exact"/>
        <w:ind w:firstLine="600"/>
        <w:jc w:val="both"/>
        <w:rPr>
          <w:rFonts w:hint="eastAsia"/>
        </w:rPr>
      </w:pPr>
      <w:r>
        <w:rPr>
          <w:rFonts w:ascii="仿宋" w:eastAsia="仿宋" w:hAnsi="仿宋" w:cs="仿宋"/>
          <w:color w:val="000000"/>
          <w:sz w:val="30"/>
        </w:rPr>
        <w:t>天津市西青区投资促进局部门2025年一般公共预算支出21,447.88万元(上年2029.13万元），与上年预算相比增加19,418.75万元，主要原因是按照承接重点工作情况，增加相</w:t>
      </w:r>
      <w:r>
        <w:rPr>
          <w:rFonts w:ascii="仿宋" w:eastAsia="仿宋" w:hAnsi="仿宋" w:cs="仿宋"/>
          <w:color w:val="000000"/>
          <w:sz w:val="30"/>
        </w:rPr>
        <w:lastRenderedPageBreak/>
        <w:t>应重点项目预算。</w:t>
      </w:r>
    </w:p>
    <w:p w14:paraId="070AAA78" w14:textId="77777777" w:rsidR="00CB134D" w:rsidRDefault="006F45B2">
      <w:pPr>
        <w:spacing w:line="560" w:lineRule="exact"/>
        <w:ind w:firstLine="600"/>
        <w:jc w:val="both"/>
        <w:rPr>
          <w:rFonts w:hint="eastAsia"/>
        </w:rPr>
      </w:pPr>
      <w:r>
        <w:rPr>
          <w:rFonts w:ascii="楷体" w:eastAsia="楷体" w:hAnsi="楷体" w:cs="楷体"/>
          <w:b/>
          <w:color w:val="000000"/>
          <w:sz w:val="30"/>
        </w:rPr>
        <w:t>（二）具体情况</w:t>
      </w:r>
    </w:p>
    <w:p w14:paraId="3F3A787D" w14:textId="77777777" w:rsidR="00CB134D" w:rsidRDefault="006F45B2">
      <w:pPr>
        <w:spacing w:line="560" w:lineRule="exact"/>
        <w:ind w:firstLine="600"/>
        <w:jc w:val="both"/>
        <w:rPr>
          <w:rFonts w:hint="eastAsia"/>
        </w:rPr>
      </w:pPr>
      <w:r>
        <w:rPr>
          <w:rFonts w:ascii="仿宋" w:eastAsia="仿宋" w:hAnsi="仿宋" w:cs="仿宋"/>
          <w:color w:val="000000"/>
          <w:sz w:val="30"/>
        </w:rPr>
        <w:t>1、“一般公共服务支出（类）”2,256.98万元，与上年预算相比增加291.74万元，主要原因是按照承接重点工作情况，增加相应重点项目预算，同时因人员调入增加基本支出预算。其中：“商贸事务（款）”2,256.98万元，包括：“招商引资（项）”2,256.98万元，主要用于保障单位正常运转、落实招商引资重点任务、推动大运河重点项目建设、南站及周边地区城市设计及规划编制等工作。</w:t>
      </w:r>
    </w:p>
    <w:p w14:paraId="412D2468" w14:textId="77777777" w:rsidR="00CB134D" w:rsidRDefault="006F45B2">
      <w:pPr>
        <w:spacing w:line="560" w:lineRule="exact"/>
        <w:ind w:firstLine="600"/>
        <w:jc w:val="both"/>
        <w:rPr>
          <w:rFonts w:hint="eastAsia"/>
        </w:rPr>
      </w:pPr>
      <w:r>
        <w:rPr>
          <w:rFonts w:ascii="仿宋" w:eastAsia="仿宋" w:hAnsi="仿宋" w:cs="仿宋"/>
          <w:color w:val="000000"/>
          <w:sz w:val="30"/>
        </w:rPr>
        <w:t>2、“教育支出（类）”0.35万元，与上年预算相比增加0.11万元，主要原因是机构改革后，编制数增加及人员调入，导致相应预算增加。其中：“进修及培训（款）”0.35万元，包括：“培训支出（项）”0.35万元，主要用于开展职工教育培训。</w:t>
      </w:r>
    </w:p>
    <w:p w14:paraId="7BDA912E" w14:textId="77777777" w:rsidR="00CB134D" w:rsidRDefault="006F45B2">
      <w:pPr>
        <w:spacing w:line="560" w:lineRule="exact"/>
        <w:ind w:firstLine="600"/>
        <w:jc w:val="both"/>
        <w:rPr>
          <w:rFonts w:hint="eastAsia"/>
        </w:rPr>
      </w:pPr>
      <w:r>
        <w:rPr>
          <w:rFonts w:ascii="仿宋" w:eastAsia="仿宋" w:hAnsi="仿宋" w:cs="仿宋"/>
          <w:color w:val="000000"/>
          <w:sz w:val="30"/>
        </w:rPr>
        <w:t>3、“社会保障和就业支出（类）”61.26万元，与上年预算相比增加18.83万元，主要原因是机构改革后，编制数增加及人员调入，导致相应预算增加。其中：“行政事业单位养老支出（款）”61.26万元，包括：“机关事业单位基本养老保险缴费支出（项）”40.84万元，主要用于缴纳职工养老保险；“机关事业单位职业年金缴费支出（项）”20.42万元，主要用于缴纳职工职业年金。</w:t>
      </w:r>
    </w:p>
    <w:p w14:paraId="0B008507" w14:textId="77777777" w:rsidR="00CB134D" w:rsidRDefault="006F45B2">
      <w:pPr>
        <w:spacing w:line="560" w:lineRule="exact"/>
        <w:ind w:firstLine="600"/>
        <w:jc w:val="both"/>
        <w:rPr>
          <w:rFonts w:hint="eastAsia"/>
        </w:rPr>
      </w:pPr>
      <w:r>
        <w:rPr>
          <w:rFonts w:ascii="仿宋" w:eastAsia="仿宋" w:hAnsi="仿宋" w:cs="仿宋"/>
          <w:color w:val="000000"/>
          <w:sz w:val="30"/>
        </w:rPr>
        <w:t>4、“卫生健康支出（类）”29.28万元，与上年预算相比增加8.06万元，主要原因是机构改革后，编制数增加及人员调</w:t>
      </w:r>
      <w:r>
        <w:rPr>
          <w:rFonts w:ascii="仿宋" w:eastAsia="仿宋" w:hAnsi="仿宋" w:cs="仿宋"/>
          <w:color w:val="000000"/>
          <w:sz w:val="30"/>
        </w:rPr>
        <w:lastRenderedPageBreak/>
        <w:t>入，导致相应预算增加。其中：“行政事业单位医疗（款）”29.28万元，包括：“行政单位医疗（项）”13.87万元，主要用于缴纳行政单位职工医疗保险；“事业单位医疗（项）”11.66万元，主要用于缴纳事业单位职工医疗保险；“公务员医疗补助（项）”2.77万元，主要用于缴纳行政单位职工医疗保险补助；“其他行政事业单位医疗支出（项）”0.98万元，主要用于缴纳事业单位职工补充医疗保险。</w:t>
      </w:r>
    </w:p>
    <w:p w14:paraId="2DFC2600" w14:textId="77777777" w:rsidR="00CB134D" w:rsidRDefault="006F45B2">
      <w:pPr>
        <w:spacing w:line="560" w:lineRule="exact"/>
        <w:ind w:firstLine="600"/>
        <w:jc w:val="both"/>
        <w:rPr>
          <w:rFonts w:hint="eastAsia"/>
        </w:rPr>
      </w:pPr>
      <w:r>
        <w:rPr>
          <w:rFonts w:ascii="仿宋" w:eastAsia="仿宋" w:hAnsi="仿宋" w:cs="仿宋"/>
          <w:color w:val="000000"/>
          <w:sz w:val="30"/>
        </w:rPr>
        <w:t>5、“商业服务业等支出（类）”19,100.00万元，与上年预算相比增加19,100.00万元，主要原因是按照承接重点工作情况，增加相应重点项目预算。其中：“商业流通事务（款）”19,100.00万元，包括：“其他商业流通事务支出（项）”19,100.00万元，主要用于推动大运河重点项目建设。</w:t>
      </w:r>
    </w:p>
    <w:p w14:paraId="3D4A9A47" w14:textId="77777777" w:rsidR="00CB134D" w:rsidRDefault="006F45B2">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720D6C2F" w14:textId="77777777" w:rsidR="00CB134D" w:rsidRDefault="006F45B2">
      <w:pPr>
        <w:spacing w:line="560" w:lineRule="exact"/>
        <w:ind w:firstLine="600"/>
        <w:jc w:val="both"/>
        <w:rPr>
          <w:rFonts w:hint="eastAsia"/>
        </w:rPr>
      </w:pPr>
      <w:r>
        <w:rPr>
          <w:rFonts w:ascii="仿宋" w:eastAsia="仿宋" w:hAnsi="仿宋" w:cs="仿宋"/>
          <w:color w:val="000000"/>
          <w:sz w:val="30"/>
        </w:rPr>
        <w:t>天津市西青区投资促进局部门2025年一般公共预算基本支出 597.88万元，与上年预算相比增加184.75万元，主要原因是机构改革后，编制数增加及人员调入，导致相应预算增加。其中：人员经费 515.22万元，主要包括：基本工资、津贴补贴、奖金、绩效工资、机关事业单位基本养老保险缴费、职业年金缴费、职工基本医疗保险缴费、公务员医疗补助缴费、其他社会保障缴费、住房公积金、医疗费、奖励金、其他对个人和家庭的补助等；</w:t>
      </w:r>
    </w:p>
    <w:p w14:paraId="07FC317A" w14:textId="77777777" w:rsidR="00CB134D" w:rsidRDefault="006F45B2">
      <w:pPr>
        <w:spacing w:line="560" w:lineRule="exact"/>
        <w:ind w:firstLine="600"/>
        <w:jc w:val="both"/>
        <w:rPr>
          <w:rFonts w:hint="eastAsia"/>
        </w:rPr>
      </w:pPr>
      <w:r>
        <w:rPr>
          <w:rFonts w:ascii="仿宋" w:eastAsia="仿宋" w:hAnsi="仿宋" w:cs="仿宋"/>
          <w:color w:val="000000"/>
          <w:sz w:val="30"/>
        </w:rPr>
        <w:t>公用经费82.66万元，主要包括：办公费、水费、电费、邮电费、取暖费、物业管理费、差旅费、维修（护）费、培训</w:t>
      </w:r>
      <w:r>
        <w:rPr>
          <w:rFonts w:ascii="仿宋" w:eastAsia="仿宋" w:hAnsi="仿宋" w:cs="仿宋"/>
          <w:color w:val="000000"/>
          <w:sz w:val="30"/>
        </w:rPr>
        <w:lastRenderedPageBreak/>
        <w:t>费、委托业务费、工会经费、福利费、其他交通费用、其他商品和服务支出、办公设备购置等。</w:t>
      </w:r>
    </w:p>
    <w:p w14:paraId="7102C619" w14:textId="77777777" w:rsidR="00CB134D" w:rsidRDefault="006F45B2">
      <w:pPr>
        <w:spacing w:line="560" w:lineRule="exact"/>
        <w:ind w:firstLine="600"/>
        <w:jc w:val="both"/>
        <w:rPr>
          <w:rFonts w:hint="eastAsia"/>
        </w:rPr>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2025年一般公共预算“三公”经费安排0万元，与2024年预算相比增加0万元，主要原因是2025年本部门一般公共预算未安排三公”经费预算。</w:t>
      </w:r>
    </w:p>
    <w:p w14:paraId="12769071" w14:textId="77777777" w:rsidR="00CB134D" w:rsidRDefault="006F45B2">
      <w:pPr>
        <w:spacing w:line="560" w:lineRule="exact"/>
        <w:ind w:firstLine="600"/>
        <w:jc w:val="both"/>
        <w:rPr>
          <w:rFonts w:hint="eastAsia"/>
        </w:rPr>
      </w:pPr>
      <w:r>
        <w:rPr>
          <w:rFonts w:ascii="仿宋" w:eastAsia="仿宋" w:hAnsi="仿宋" w:cs="仿宋"/>
          <w:color w:val="000000"/>
          <w:sz w:val="30"/>
        </w:rPr>
        <w:t>具体情况：</w:t>
      </w:r>
    </w:p>
    <w:p w14:paraId="698FED21" w14:textId="77777777" w:rsidR="00CB134D" w:rsidRDefault="006F45B2">
      <w:pPr>
        <w:spacing w:line="560" w:lineRule="exact"/>
        <w:ind w:firstLine="600"/>
        <w:jc w:val="both"/>
        <w:rPr>
          <w:rFonts w:hint="eastAsia"/>
        </w:rPr>
      </w:pPr>
      <w:r>
        <w:rPr>
          <w:rFonts w:ascii="仿宋" w:eastAsia="仿宋" w:hAnsi="仿宋" w:cs="仿宋"/>
          <w:color w:val="000000"/>
          <w:sz w:val="30"/>
        </w:rPr>
        <w:t>一、2025年因公出国（境）费预算0万元，与2024年预算相比增加0万元，主要原因是2025年本部门一般公共预算未安排因公出国（境）费预算。</w:t>
      </w:r>
    </w:p>
    <w:p w14:paraId="51890007" w14:textId="77777777" w:rsidR="00CB134D" w:rsidRDefault="006F45B2">
      <w:pPr>
        <w:spacing w:line="560" w:lineRule="exact"/>
        <w:ind w:firstLine="600"/>
        <w:jc w:val="both"/>
        <w:rPr>
          <w:rFonts w:hint="eastAsia"/>
        </w:rPr>
      </w:pPr>
      <w:r>
        <w:rPr>
          <w:rFonts w:ascii="仿宋" w:eastAsia="仿宋" w:hAnsi="仿宋" w:cs="仿宋"/>
          <w:color w:val="000000"/>
          <w:sz w:val="30"/>
        </w:rPr>
        <w:t>二、2025年公务用车购置及运行费预算0万元，</w:t>
      </w:r>
    </w:p>
    <w:p w14:paraId="0FD2DBBF" w14:textId="77777777" w:rsidR="00CB134D" w:rsidRDefault="006F45B2">
      <w:pPr>
        <w:spacing w:line="560" w:lineRule="exact"/>
        <w:ind w:firstLine="600"/>
        <w:jc w:val="both"/>
        <w:rPr>
          <w:rFonts w:hint="eastAsia"/>
        </w:rPr>
      </w:pPr>
      <w:r>
        <w:rPr>
          <w:rFonts w:ascii="仿宋" w:eastAsia="仿宋" w:hAnsi="仿宋" w:cs="仿宋"/>
          <w:color w:val="000000"/>
          <w:sz w:val="30"/>
        </w:rPr>
        <w:t>其中公务用车运行费0万元，与2024年预算相比增加0万元，主要原因是2025年本部门一般公共预算未安排公务用车运行费；公务用车购置费0万元，与2024年预算相比增加0万元，主要原因是2025年本部门一般公共预算未安排公务用车购置费。</w:t>
      </w:r>
    </w:p>
    <w:p w14:paraId="2744E1A4" w14:textId="77777777" w:rsidR="00CB134D" w:rsidRDefault="006F45B2">
      <w:pPr>
        <w:spacing w:line="560" w:lineRule="exact"/>
        <w:ind w:firstLine="600"/>
        <w:jc w:val="both"/>
        <w:rPr>
          <w:rFonts w:hint="eastAsia"/>
        </w:rPr>
      </w:pPr>
      <w:r>
        <w:rPr>
          <w:rFonts w:ascii="仿宋" w:eastAsia="仿宋" w:hAnsi="仿宋" w:cs="仿宋"/>
          <w:color w:val="000000"/>
          <w:sz w:val="30"/>
        </w:rPr>
        <w:t>三、2025年公务接待费预算0万元，与2024年预算相比增加0万元，主要原因是2025年本部门一般公共预算未安排公务接待费。</w:t>
      </w:r>
    </w:p>
    <w:p w14:paraId="18910D59" w14:textId="77777777" w:rsidR="00CB134D" w:rsidRDefault="006F45B2">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0FB9CEBA" w14:textId="77777777" w:rsidR="00CB134D" w:rsidRDefault="006F45B2">
      <w:pPr>
        <w:spacing w:line="560" w:lineRule="exact"/>
        <w:ind w:firstLine="600"/>
        <w:jc w:val="both"/>
        <w:rPr>
          <w:rFonts w:hint="eastAsia"/>
        </w:rPr>
      </w:pPr>
      <w:r>
        <w:rPr>
          <w:rFonts w:ascii="仿宋" w:eastAsia="仿宋" w:hAnsi="仿宋" w:cs="仿宋"/>
          <w:color w:val="000000"/>
          <w:sz w:val="30"/>
        </w:rPr>
        <w:t>2025年天津市西青区投资促进局部门预算中没有使用政府性基金预算安排的支出。</w:t>
      </w:r>
    </w:p>
    <w:p w14:paraId="663C5C4E" w14:textId="77777777" w:rsidR="00CB134D" w:rsidRDefault="006F45B2">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34AE1905" w14:textId="77777777" w:rsidR="00CB134D" w:rsidRDefault="006F45B2">
      <w:pPr>
        <w:spacing w:line="560" w:lineRule="exact"/>
        <w:ind w:firstLine="600"/>
        <w:jc w:val="both"/>
        <w:rPr>
          <w:rFonts w:hint="eastAsia"/>
        </w:rPr>
      </w:pPr>
      <w:r>
        <w:rPr>
          <w:rFonts w:ascii="仿宋" w:eastAsia="仿宋" w:hAnsi="仿宋" w:cs="仿宋"/>
          <w:color w:val="000000"/>
          <w:sz w:val="30"/>
        </w:rPr>
        <w:lastRenderedPageBreak/>
        <w:t>2025年天津市西青区投资促进局部门预算中没有使用国有资本经营预算安排的支出。</w:t>
      </w:r>
    </w:p>
    <w:p w14:paraId="160291E3" w14:textId="77777777" w:rsidR="00CB134D" w:rsidRDefault="006F45B2">
      <w:pPr>
        <w:spacing w:line="560" w:lineRule="exact"/>
        <w:ind w:firstLine="600"/>
        <w:jc w:val="both"/>
        <w:rPr>
          <w:rFonts w:hint="eastAsia"/>
        </w:rPr>
      </w:pPr>
      <w:r>
        <w:rPr>
          <w:rFonts w:ascii="黑体" w:eastAsia="黑体" w:hAnsi="黑体" w:cs="黑体"/>
          <w:b/>
          <w:color w:val="000000"/>
          <w:sz w:val="30"/>
        </w:rPr>
        <w:t>十、其他重要事项的情况说明</w:t>
      </w:r>
    </w:p>
    <w:p w14:paraId="7BA3665C" w14:textId="77777777" w:rsidR="00CB134D" w:rsidRDefault="006F45B2">
      <w:pPr>
        <w:spacing w:line="560" w:lineRule="exact"/>
        <w:ind w:firstLine="600"/>
        <w:jc w:val="both"/>
        <w:rPr>
          <w:rFonts w:hint="eastAsia"/>
        </w:rPr>
      </w:pPr>
      <w:r>
        <w:rPr>
          <w:rFonts w:ascii="楷体" w:eastAsia="楷体" w:hAnsi="楷体" w:cs="楷体"/>
          <w:b/>
          <w:color w:val="000000"/>
          <w:sz w:val="30"/>
        </w:rPr>
        <w:t>（一）机关运行经费。</w:t>
      </w:r>
    </w:p>
    <w:p w14:paraId="469AE0C4" w14:textId="77777777" w:rsidR="00CB134D" w:rsidRDefault="006F45B2">
      <w:pPr>
        <w:spacing w:line="560" w:lineRule="exact"/>
        <w:ind w:firstLine="600"/>
        <w:jc w:val="both"/>
        <w:rPr>
          <w:rFonts w:hint="eastAsia"/>
        </w:rPr>
      </w:pPr>
      <w:r>
        <w:rPr>
          <w:rFonts w:ascii="仿宋" w:eastAsia="仿宋" w:hAnsi="仿宋" w:cs="仿宋"/>
          <w:color w:val="000000"/>
          <w:sz w:val="30"/>
        </w:rPr>
        <w:t>本部门2025年天津市西青区投资促进局1家行政单位以及0家参公管理事业单位的机关运行经费预算54.98万元，包括办公费4.21万元、水费0.66万元、电费7.35万元、邮电费0.66万元、取暖费3.18万元、物业管理费11.50万元、</w:t>
      </w:r>
    </w:p>
    <w:p w14:paraId="3EAD9718" w14:textId="77777777" w:rsidR="00CB134D" w:rsidRDefault="006F45B2">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1668.12万元，其中：政府采购货物支出2.10万元、政府采购工程支出0万元、政府采购服务支出1666.02万元。主要项目是：采购台式计算机1.1万元，采购复印纸0.80万元，采购文件柜0.2万元，采购食堂餐饮服务16.02万元，采购招商服务650万元，采购音美扩建前期工作服务500万元，采购南站周边地区城市设计及规划编制500万元。</w:t>
      </w:r>
    </w:p>
    <w:p w14:paraId="248A5008" w14:textId="77777777" w:rsidR="00CB134D" w:rsidRDefault="006F45B2">
      <w:pPr>
        <w:spacing w:line="560" w:lineRule="exact"/>
        <w:ind w:firstLine="600"/>
        <w:jc w:val="both"/>
        <w:rPr>
          <w:rFonts w:hint="eastAsia"/>
        </w:rPr>
      </w:pPr>
      <w:r>
        <w:rPr>
          <w:rFonts w:ascii="楷体" w:eastAsia="楷体" w:hAnsi="楷体" w:cs="楷体"/>
          <w:b/>
          <w:color w:val="000000"/>
          <w:sz w:val="30"/>
        </w:rPr>
        <w:t>（三）国有资产占用情况</w:t>
      </w:r>
    </w:p>
    <w:p w14:paraId="692D145A" w14:textId="77777777" w:rsidR="00CB134D" w:rsidRDefault="006F45B2">
      <w:pPr>
        <w:spacing w:line="560" w:lineRule="exact"/>
        <w:ind w:firstLine="600"/>
        <w:jc w:val="both"/>
        <w:rPr>
          <w:rFonts w:hint="eastAsia"/>
        </w:rPr>
      </w:pPr>
      <w:r>
        <w:rPr>
          <w:rFonts w:ascii="仿宋" w:eastAsia="仿宋" w:hAnsi="仿宋" w:cs="仿宋"/>
          <w:color w:val="000000"/>
          <w:sz w:val="30"/>
        </w:rPr>
        <w:t>截至2024年12月底，本部门各单位共有车辆0辆、其中：副部（省）级及以上领导用车0辆、主要负责人干部用车0辆、机要通信用车0辆、应急保障用车0辆、执法执勤用车0辆、特种专业技术用车0辆、离退休干部用车0辆、其他用车0辆，其他用车主要包括0。单价（账面原值）100万以上的设备0台（套）。</w:t>
      </w:r>
    </w:p>
    <w:p w14:paraId="0172AB8C" w14:textId="77777777" w:rsidR="00CB134D" w:rsidRDefault="006F45B2">
      <w:pPr>
        <w:spacing w:line="560" w:lineRule="exact"/>
        <w:ind w:firstLine="600"/>
        <w:jc w:val="both"/>
        <w:rPr>
          <w:rFonts w:hint="eastAsia"/>
        </w:rPr>
      </w:pPr>
      <w:r>
        <w:rPr>
          <w:rFonts w:ascii="楷体" w:eastAsia="楷体" w:hAnsi="楷体" w:cs="楷体"/>
          <w:b/>
          <w:color w:val="000000"/>
          <w:sz w:val="30"/>
        </w:rPr>
        <w:lastRenderedPageBreak/>
        <w:t>（四）预算绩效情况说明。</w:t>
      </w:r>
    </w:p>
    <w:p w14:paraId="272BCE16" w14:textId="77777777" w:rsidR="00CB134D" w:rsidRDefault="006F45B2">
      <w:pPr>
        <w:spacing w:line="560" w:lineRule="exact"/>
        <w:ind w:firstLine="600"/>
        <w:jc w:val="both"/>
        <w:rPr>
          <w:rFonts w:hint="eastAsia"/>
        </w:rPr>
      </w:pPr>
      <w:r>
        <w:rPr>
          <w:rFonts w:ascii="仿宋" w:eastAsia="仿宋" w:hAnsi="仿宋" w:cs="仿宋"/>
          <w:color w:val="000000"/>
          <w:sz w:val="30"/>
        </w:rPr>
        <w:t>天津市西青区投资促进局部门2025年实行绩效目标管理的项目7个，涉及预算金额20850万元。</w:t>
      </w:r>
    </w:p>
    <w:p w14:paraId="568DEC9F" w14:textId="77777777" w:rsidR="00CB134D" w:rsidRDefault="006F45B2">
      <w:pPr>
        <w:pageBreakBefore/>
        <w:spacing w:line="560" w:lineRule="exact"/>
        <w:jc w:val="center"/>
        <w:rPr>
          <w:rFonts w:hint="eastAsia"/>
        </w:rPr>
      </w:pPr>
      <w:r>
        <w:rPr>
          <w:rFonts w:ascii="黑体" w:eastAsia="黑体" w:hAnsi="黑体" w:cs="黑体"/>
          <w:b/>
          <w:color w:val="000000"/>
          <w:sz w:val="48"/>
        </w:rPr>
        <w:lastRenderedPageBreak/>
        <w:t>第三部分  名词解释</w:t>
      </w:r>
    </w:p>
    <w:p w14:paraId="1DBB71CF" w14:textId="77777777" w:rsidR="00CB134D" w:rsidRDefault="006F45B2">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3B09CC7E" w14:textId="77777777" w:rsidR="00CB134D" w:rsidRDefault="006F45B2">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01F6E3C1" w14:textId="77777777" w:rsidR="00CB134D" w:rsidRDefault="006F45B2">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778C1EC1" w14:textId="77777777" w:rsidR="00CB134D" w:rsidRDefault="006F45B2">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584C26F" w14:textId="77777777" w:rsidR="00CB134D" w:rsidRDefault="006F45B2">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   2025年部门预算表</w:t>
      </w:r>
    </w:p>
    <w:p w14:paraId="6123F184" w14:textId="77777777" w:rsidR="00CB134D" w:rsidRDefault="006F45B2">
      <w:pPr>
        <w:spacing w:line="560" w:lineRule="exact"/>
        <w:jc w:val="both"/>
        <w:rPr>
          <w:rFonts w:hint="eastAsia"/>
        </w:rPr>
      </w:pPr>
      <w:r>
        <w:rPr>
          <w:rFonts w:ascii="楷体" w:eastAsia="楷体" w:hAnsi="楷体" w:cs="楷体"/>
          <w:b/>
          <w:color w:val="000000"/>
          <w:sz w:val="30"/>
        </w:rPr>
        <w:t>一、《部门收支总体情况表》</w:t>
      </w:r>
    </w:p>
    <w:p w14:paraId="3AF542F3" w14:textId="77777777" w:rsidR="00CB134D" w:rsidRDefault="006F45B2">
      <w:pPr>
        <w:spacing w:line="560" w:lineRule="exact"/>
        <w:jc w:val="both"/>
        <w:rPr>
          <w:rFonts w:hint="eastAsia"/>
        </w:rPr>
      </w:pPr>
      <w:r>
        <w:rPr>
          <w:rFonts w:ascii="楷体" w:eastAsia="楷体" w:hAnsi="楷体" w:cs="楷体"/>
          <w:b/>
          <w:color w:val="000000"/>
          <w:sz w:val="30"/>
        </w:rPr>
        <w:t>二、《部门收入总体情况表》</w:t>
      </w:r>
    </w:p>
    <w:p w14:paraId="6E1630A0" w14:textId="77777777" w:rsidR="00CB134D" w:rsidRDefault="006F45B2">
      <w:pPr>
        <w:spacing w:line="560" w:lineRule="exact"/>
        <w:jc w:val="both"/>
        <w:rPr>
          <w:rFonts w:hint="eastAsia"/>
        </w:rPr>
      </w:pPr>
      <w:r>
        <w:rPr>
          <w:rFonts w:ascii="楷体" w:eastAsia="楷体" w:hAnsi="楷体" w:cs="楷体"/>
          <w:b/>
          <w:color w:val="000000"/>
          <w:sz w:val="30"/>
        </w:rPr>
        <w:t>三、《部门支出总体情况表》</w:t>
      </w:r>
    </w:p>
    <w:p w14:paraId="64546DD9" w14:textId="77777777" w:rsidR="00CB134D" w:rsidRDefault="006F45B2">
      <w:pPr>
        <w:spacing w:line="560" w:lineRule="exact"/>
        <w:jc w:val="both"/>
        <w:rPr>
          <w:rFonts w:hint="eastAsia"/>
        </w:rPr>
      </w:pPr>
      <w:r>
        <w:rPr>
          <w:rFonts w:ascii="楷体" w:eastAsia="楷体" w:hAnsi="楷体" w:cs="楷体"/>
          <w:b/>
          <w:color w:val="000000"/>
          <w:sz w:val="30"/>
        </w:rPr>
        <w:t>四、《财政拨款收支总体情况表》</w:t>
      </w:r>
    </w:p>
    <w:p w14:paraId="16070443" w14:textId="77777777" w:rsidR="00CB134D" w:rsidRDefault="006F45B2">
      <w:pPr>
        <w:spacing w:line="560" w:lineRule="exact"/>
        <w:jc w:val="both"/>
        <w:rPr>
          <w:rFonts w:hint="eastAsia"/>
        </w:rPr>
      </w:pPr>
      <w:r>
        <w:rPr>
          <w:rFonts w:ascii="楷体" w:eastAsia="楷体" w:hAnsi="楷体" w:cs="楷体"/>
          <w:b/>
          <w:color w:val="000000"/>
          <w:sz w:val="30"/>
        </w:rPr>
        <w:t>五、《一般公共预算支出情况表》</w:t>
      </w:r>
    </w:p>
    <w:p w14:paraId="263B3D6E" w14:textId="77777777" w:rsidR="00CB134D" w:rsidRDefault="006F45B2">
      <w:pPr>
        <w:spacing w:line="560" w:lineRule="exact"/>
        <w:jc w:val="both"/>
        <w:rPr>
          <w:rFonts w:hint="eastAsia"/>
        </w:rPr>
      </w:pPr>
      <w:r>
        <w:rPr>
          <w:rFonts w:ascii="楷体" w:eastAsia="楷体" w:hAnsi="楷体" w:cs="楷体"/>
          <w:b/>
          <w:color w:val="000000"/>
          <w:sz w:val="30"/>
        </w:rPr>
        <w:t>六、《一般公共预算基本支出情况表》</w:t>
      </w:r>
    </w:p>
    <w:p w14:paraId="49B07C8D" w14:textId="77777777" w:rsidR="00CB134D" w:rsidRDefault="006F45B2">
      <w:pPr>
        <w:spacing w:line="560" w:lineRule="exact"/>
        <w:jc w:val="both"/>
        <w:rPr>
          <w:rFonts w:hint="eastAsia"/>
        </w:rPr>
      </w:pPr>
      <w:r>
        <w:rPr>
          <w:rFonts w:ascii="楷体" w:eastAsia="楷体" w:hAnsi="楷体" w:cs="楷体"/>
          <w:b/>
          <w:color w:val="000000"/>
          <w:sz w:val="30"/>
        </w:rPr>
        <w:t>七、《一般公共预算“三公”经费支出情况表》</w:t>
      </w:r>
    </w:p>
    <w:p w14:paraId="12A71407" w14:textId="77777777" w:rsidR="00CB134D" w:rsidRDefault="006F45B2">
      <w:pPr>
        <w:spacing w:line="560" w:lineRule="exact"/>
        <w:jc w:val="both"/>
        <w:rPr>
          <w:rFonts w:hint="eastAsia"/>
        </w:rPr>
      </w:pPr>
      <w:r>
        <w:rPr>
          <w:rFonts w:ascii="楷体" w:eastAsia="楷体" w:hAnsi="楷体" w:cs="楷体"/>
          <w:b/>
          <w:color w:val="000000"/>
          <w:sz w:val="30"/>
        </w:rPr>
        <w:t>八、《政府性基金预算支出情况表》</w:t>
      </w:r>
    </w:p>
    <w:p w14:paraId="2EB80C1D" w14:textId="77777777" w:rsidR="00CB134D" w:rsidRDefault="006F45B2">
      <w:pPr>
        <w:spacing w:line="560" w:lineRule="exact"/>
        <w:jc w:val="both"/>
        <w:rPr>
          <w:rFonts w:hint="eastAsia"/>
        </w:rPr>
      </w:pPr>
      <w:r>
        <w:rPr>
          <w:rFonts w:ascii="楷体" w:eastAsia="楷体" w:hAnsi="楷体" w:cs="楷体"/>
          <w:b/>
          <w:color w:val="000000"/>
          <w:sz w:val="30"/>
        </w:rPr>
        <w:t>九、《国有资本经营预算支出情况表》</w:t>
      </w:r>
    </w:p>
    <w:p w14:paraId="65B57785" w14:textId="77777777" w:rsidR="00CB134D" w:rsidRDefault="006F45B2">
      <w:pPr>
        <w:spacing w:line="560" w:lineRule="exact"/>
        <w:jc w:val="both"/>
        <w:rPr>
          <w:rFonts w:hint="eastAsia"/>
        </w:rPr>
      </w:pPr>
      <w:r>
        <w:rPr>
          <w:rFonts w:ascii="楷体" w:eastAsia="楷体" w:hAnsi="楷体" w:cs="楷体"/>
          <w:b/>
          <w:color w:val="000000"/>
          <w:sz w:val="30"/>
        </w:rPr>
        <w:t>十、《项目支出表》</w:t>
      </w:r>
    </w:p>
    <w:p w14:paraId="7DB711FD" w14:textId="77777777" w:rsidR="00CB134D" w:rsidRDefault="006F45B2">
      <w:pPr>
        <w:spacing w:line="560" w:lineRule="exact"/>
        <w:jc w:val="both"/>
        <w:rPr>
          <w:rFonts w:hint="eastAsia"/>
        </w:rPr>
      </w:pPr>
      <w:r>
        <w:rPr>
          <w:rFonts w:ascii="楷体" w:eastAsia="楷体" w:hAnsi="楷体" w:cs="楷体"/>
          <w:b/>
          <w:color w:val="000000"/>
          <w:sz w:val="30"/>
        </w:rPr>
        <w:t>十一、关于空表说明</w:t>
      </w:r>
    </w:p>
    <w:p w14:paraId="733A0D98" w14:textId="77777777" w:rsidR="00CB134D" w:rsidRDefault="006F45B2">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152875A2" w14:textId="77777777" w:rsidR="00CB134D" w:rsidRDefault="006F45B2">
      <w:pPr>
        <w:spacing w:line="560" w:lineRule="exact"/>
        <w:ind w:firstLine="600"/>
        <w:jc w:val="both"/>
        <w:rPr>
          <w:rFonts w:hint="eastAsia"/>
        </w:rPr>
      </w:pPr>
      <w:r>
        <w:rPr>
          <w:rFonts w:ascii="仿宋" w:eastAsia="仿宋" w:hAnsi="仿宋" w:cs="仿宋"/>
          <w:color w:val="000000"/>
          <w:sz w:val="30"/>
        </w:rPr>
        <w:t>本部门2025年一般公共预算“三公”经费支出情况表为空表</w:t>
      </w:r>
    </w:p>
    <w:p w14:paraId="4C35939B" w14:textId="77777777" w:rsidR="00CB134D" w:rsidRDefault="006F45B2">
      <w:pPr>
        <w:spacing w:line="560" w:lineRule="exact"/>
        <w:ind w:firstLine="600"/>
        <w:jc w:val="both"/>
        <w:rPr>
          <w:rFonts w:hint="eastAsia"/>
        </w:rPr>
      </w:pPr>
      <w:r>
        <w:rPr>
          <w:rFonts w:ascii="仿宋" w:eastAsia="仿宋" w:hAnsi="仿宋" w:cs="仿宋"/>
          <w:color w:val="000000"/>
          <w:sz w:val="30"/>
        </w:rPr>
        <w:t>本部门2025年政府性基金预算支出情况表为空表</w:t>
      </w:r>
    </w:p>
    <w:p w14:paraId="3E6C6D49" w14:textId="77777777" w:rsidR="00CB134D" w:rsidRDefault="006F45B2">
      <w:pPr>
        <w:spacing w:line="560" w:lineRule="exact"/>
        <w:ind w:firstLine="600"/>
        <w:jc w:val="both"/>
        <w:rPr>
          <w:rFonts w:hint="eastAsia"/>
        </w:rPr>
      </w:pPr>
      <w:r>
        <w:rPr>
          <w:rFonts w:ascii="仿宋" w:eastAsia="仿宋" w:hAnsi="仿宋" w:cs="仿宋"/>
          <w:color w:val="000000"/>
          <w:sz w:val="30"/>
        </w:rPr>
        <w:t>本部门2025年国有资本经营预算支出情况表为空表</w:t>
      </w:r>
    </w:p>
    <w:sectPr w:rsidR="00CB13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B134D"/>
    <w:rsid w:val="001737B8"/>
    <w:rsid w:val="002F4D06"/>
    <w:rsid w:val="004D2E6D"/>
    <w:rsid w:val="005C530C"/>
    <w:rsid w:val="006F45B2"/>
    <w:rsid w:val="00C055A4"/>
    <w:rsid w:val="00CB134D"/>
    <w:rsid w:val="00D64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D5DD5"/>
  <w15:docId w15:val="{26736FCF-A6EB-443F-B425-62652EB1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851</Words>
  <Characters>4852</Characters>
  <Application>Microsoft Office Word</Application>
  <DocSecurity>0</DocSecurity>
  <Lines>40</Lines>
  <Paragraphs>11</Paragraphs>
  <ScaleCrop>false</ScaleCrop>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7</cp:revision>
  <dcterms:created xsi:type="dcterms:W3CDTF">2025-03-21T01:15:00Z</dcterms:created>
  <dcterms:modified xsi:type="dcterms:W3CDTF">2025-03-26T07:48:00Z</dcterms:modified>
</cp:coreProperties>
</file>