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西青区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王稳庄镇</w:t>
      </w:r>
      <w:r>
        <w:rPr>
          <w:rFonts w:hint="eastAsia" w:ascii="方正小标宋简体" w:hAnsi="宋体" w:eastAsia="方正小标宋简体"/>
          <w:sz w:val="44"/>
          <w:szCs w:val="44"/>
        </w:rPr>
        <w:t>2018年一般公共预算“三公”经费支出决算情况的说明</w:t>
      </w:r>
    </w:p>
    <w:p>
      <w:pPr>
        <w:spacing w:line="600" w:lineRule="exact"/>
        <w:ind w:firstLine="608" w:firstLineChars="200"/>
        <w:jc w:val="center"/>
        <w:rPr>
          <w:rFonts w:ascii="仿宋_GB2312" w:eastAsia="仿宋_GB2312"/>
          <w:w w:val="95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西青区王稳庄镇人民政府</w:t>
      </w:r>
      <w:r>
        <w:rPr>
          <w:rFonts w:hint="eastAsia" w:ascii="仿宋_GB2312" w:eastAsia="仿宋_GB2312"/>
          <w:sz w:val="32"/>
          <w:szCs w:val="32"/>
        </w:rPr>
        <w:t>一般公共预算安排的因公出国（境）费、公务用车购置及运行维护费、公务接待费等“三公”经费支出决算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5.07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4.11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eastAsia="仿宋_GB2312"/>
          <w:sz w:val="32"/>
          <w:szCs w:val="32"/>
          <w:lang w:val="en-US" w:eastAsia="zh-CN"/>
        </w:rPr>
        <w:t>减少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44.77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%。具体情况：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一、因公出国（境）费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与上年相比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，主要原因是</w:t>
      </w:r>
      <w:r>
        <w:rPr>
          <w:rFonts w:hint="eastAsia" w:eastAsia="仿宋_GB2312"/>
          <w:sz w:val="32"/>
          <w:szCs w:val="32"/>
          <w:u w:val="single"/>
        </w:rPr>
        <w:t xml:space="preserve">近两年无因公出国（境）活动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因公</w:t>
      </w:r>
      <w:r>
        <w:rPr>
          <w:rFonts w:hint="eastAsia" w:eastAsia="仿宋_GB2312"/>
          <w:sz w:val="32"/>
          <w:szCs w:val="32"/>
        </w:rPr>
        <w:t>出国团组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个，出国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二、公务用车购置及运行维护费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5.07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减少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4.11</w:t>
      </w:r>
      <w:r>
        <w:rPr>
          <w:rFonts w:hint="eastAsia" w:ascii="仿宋_GB2312" w:eastAsia="仿宋_GB2312"/>
          <w:color w:val="000000"/>
          <w:sz w:val="32"/>
          <w:szCs w:val="32"/>
        </w:rPr>
        <w:t>万元，同比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减少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44.77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与上年相比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公务用车运行维护费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5.07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4.11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eastAsia="仿宋_GB2312"/>
          <w:sz w:val="32"/>
          <w:szCs w:val="32"/>
          <w:lang w:val="en-US" w:eastAsia="zh-CN"/>
        </w:rPr>
        <w:t>减少</w:t>
      </w:r>
      <w:r>
        <w:rPr>
          <w:rFonts w:eastAsia="仿宋_GB2312"/>
          <w:sz w:val="32"/>
          <w:szCs w:val="32"/>
          <w:u w:val="single"/>
        </w:rPr>
        <w:t xml:space="preserve"> 4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4.77</w:t>
      </w:r>
      <w:r>
        <w:rPr>
          <w:rFonts w:hint="eastAsia" w:ascii="仿宋_GB2312" w:eastAsia="仿宋_GB2312"/>
          <w:sz w:val="32"/>
          <w:szCs w:val="32"/>
        </w:rPr>
        <w:t>%。主要原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因是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公车保有数量减少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年公务用车</w:t>
      </w:r>
      <w:r>
        <w:rPr>
          <w:rFonts w:hint="eastAsia" w:ascii="仿宋_GB2312" w:eastAsia="仿宋_GB2312" w:cs="仿宋_GB2312"/>
          <w:sz w:val="32"/>
          <w:szCs w:val="32"/>
        </w:rPr>
        <w:t>保有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辆，购置公务用车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辆。</w:t>
      </w: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三、公务接待费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与上年相比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,主要原因是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近两年无公务接待</w:t>
      </w:r>
      <w:r>
        <w:rPr>
          <w:rFonts w:hint="eastAsia" w:eastAsia="仿宋_GB2312"/>
          <w:sz w:val="32"/>
          <w:szCs w:val="32"/>
          <w:u w:val="single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 w:cs="仿宋_GB2312"/>
          <w:sz w:val="32"/>
          <w:szCs w:val="32"/>
        </w:rPr>
        <w:t>年国内公务接待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批次，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人次。</w:t>
      </w: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tabs>
        <w:tab w:val="left" w:pos="2085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375BF"/>
    <w:rsid w:val="212C63F1"/>
    <w:rsid w:val="22B375BF"/>
    <w:rsid w:val="2F0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WPS_1499957771</dc:creator>
  <cp:lastModifiedBy>WPS_1499957771</cp:lastModifiedBy>
  <dcterms:modified xsi:type="dcterms:W3CDTF">2021-05-25T01:44:41Z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18DDF4BC13AA4A73B7899C16E31D852F</vt:lpwstr>
  </property>
</Properties>
</file>