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天津市西青区杨柳青镇第二幼儿园</w:t>
      </w: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403062085"/>
      <w:bookmarkStart w:id="2" w:name="_Toc1084941266"/>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pPr>
        <w:spacing w:beforeLines="0" w:afterLines="0" w:line="600" w:lineRule="exact"/>
        <w:ind w:firstLine="600" w:firstLineChars="200"/>
        <w:rPr>
          <w:rFonts w:hint="eastAsia" w:ascii="仿宋" w:hAnsi="仿宋" w:eastAsia="仿宋" w:cs="仿宋"/>
          <w:sz w:val="30"/>
          <w:szCs w:val="24"/>
          <w:lang w:val="en-US"/>
        </w:rPr>
      </w:pPr>
      <w:r>
        <w:rPr>
          <w:rFonts w:hint="eastAsia" w:ascii="仿宋" w:hAnsi="仿宋" w:eastAsia="仿宋" w:cs="仿宋"/>
          <w:sz w:val="30"/>
          <w:szCs w:val="24"/>
          <w:lang w:val="en-US" w:eastAsia="zh-CN"/>
        </w:rPr>
        <w:t>遵守法律、法规，贯彻国家的教育方针、财会制度，维护受教育者、教师及其他职工的合法权益，遵照国家有关规定收取费用并公开收费项目，依法接受监督</w:t>
      </w:r>
      <w:r>
        <w:rPr>
          <w:rFonts w:hint="eastAsia" w:ascii="仿宋" w:hAnsi="仿宋" w:eastAsia="仿宋" w:cs="仿宋"/>
          <w:sz w:val="30"/>
          <w:szCs w:val="24"/>
          <w:lang w:val="en-US"/>
        </w:rPr>
        <w:t>。</w:t>
      </w:r>
    </w:p>
    <w:p>
      <w:pPr>
        <w:numPr>
          <w:ilvl w:val="0"/>
          <w:numId w:val="0"/>
        </w:numPr>
        <w:spacing w:beforeLines="0" w:afterLines="0" w:line="600" w:lineRule="exact"/>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 xml:space="preserve">    1.提供高质量的教育服务，遵循教育规律，面向全体幼儿，确保教学在专业水准上，满足幼儿的学习要求。</w:t>
      </w:r>
    </w:p>
    <w:p>
      <w:pPr>
        <w:numPr>
          <w:ilvl w:val="0"/>
          <w:numId w:val="0"/>
        </w:numPr>
        <w:spacing w:beforeLines="0" w:afterLines="0"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2.保障幼儿安全，幼儿园有义务制定和执行安全管理制度，确保幼儿在校期间的安全。</w:t>
      </w:r>
    </w:p>
    <w:p>
      <w:pPr>
        <w:numPr>
          <w:ilvl w:val="0"/>
          <w:numId w:val="0"/>
        </w:numPr>
        <w:spacing w:beforeLines="0" w:afterLines="0" w:line="600" w:lineRule="exact"/>
        <w:ind w:firstLine="600" w:firstLineChars="200"/>
        <w:rPr>
          <w:rFonts w:hint="eastAsia" w:ascii="仿宋" w:hAnsi="仿宋" w:eastAsia="仿宋" w:cs="仿宋"/>
          <w:sz w:val="30"/>
          <w:szCs w:val="24"/>
          <w:lang w:val="en-US" w:eastAsia="zh-CN"/>
        </w:rPr>
      </w:pPr>
      <w:r>
        <w:rPr>
          <w:rFonts w:hint="eastAsia" w:ascii="仿宋" w:hAnsi="仿宋" w:eastAsia="仿宋" w:cs="仿宋"/>
          <w:sz w:val="30"/>
          <w:szCs w:val="24"/>
          <w:lang w:val="en-US" w:eastAsia="zh-CN"/>
        </w:rPr>
        <w:t>3.遵守法律法规，确保幼儿园的各项工作符合法律法规的要求。</w:t>
      </w:r>
    </w:p>
    <w:p>
      <w:pPr>
        <w:numPr>
          <w:ilvl w:val="0"/>
          <w:numId w:val="0"/>
        </w:numPr>
        <w:spacing w:beforeLines="0" w:afterLines="0" w:line="600" w:lineRule="exact"/>
        <w:rPr>
          <w:rFonts w:hint="eastAsia" w:ascii="仿宋_GB2312" w:eastAsia="仿宋_GB2312"/>
          <w:sz w:val="30"/>
          <w:szCs w:val="30"/>
          <w:highlight w:val="none"/>
          <w:u w:val="none"/>
          <w:lang w:val="en-US" w:eastAsia="zh-CN"/>
        </w:rPr>
      </w:pPr>
      <w:r>
        <w:rPr>
          <w:rFonts w:hint="eastAsia" w:ascii="仿宋" w:hAnsi="仿宋" w:eastAsia="仿宋" w:cs="仿宋"/>
          <w:sz w:val="30"/>
          <w:szCs w:val="24"/>
          <w:lang w:val="en-US" w:eastAsia="zh-CN"/>
        </w:rPr>
        <w:t xml:space="preserve">    4.尊重幼儿的权益，保护幼儿权益，对侵犯幼儿权益的行为进行严肃处理</w:t>
      </w:r>
      <w:r>
        <w:rPr>
          <w:rFonts w:hint="eastAsia" w:ascii="仿宋_GB2312" w:eastAsia="仿宋_GB2312"/>
          <w:sz w:val="30"/>
          <w:szCs w:val="30"/>
          <w:highlight w:val="none"/>
          <w:u w:val="none"/>
          <w:lang w:val="en-US" w:eastAsia="zh-CN"/>
        </w:rPr>
        <w:t>。</w:t>
      </w: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天津市西青区杨柳青镇第二幼儿园内设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；无下辖预算单位。纳入天津市西青区杨柳青镇第二幼儿园2024年度部门决算编制范围的单位包括：天津市西青区杨柳青镇第二幼儿园。</w:t>
      </w: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pPr>
              <w:snapToGrid w:val="0"/>
              <w:jc w:val="center"/>
            </w:pPr>
            <w:r>
              <w:rPr>
                <w:rFonts w:ascii="宋体" w:hAnsi="宋体" w:eastAsia="宋体" w:cs="宋体"/>
                <w:b w:val="0"/>
                <w:i w:val="0"/>
                <w:color w:val="000000"/>
                <w:sz w:val="23"/>
              </w:rPr>
              <w:t>收入</w:t>
            </w:r>
          </w:p>
        </w:tc>
        <w:tc>
          <w:tcPr>
            <w:tcW w:w="6618"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4,996,102.04</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pPr>
              <w:snapToGrid w:val="0"/>
              <w:jc w:val="right"/>
            </w:pPr>
            <w:r>
              <w:rPr>
                <w:rFonts w:ascii="宋体" w:hAnsi="宋体" w:eastAsia="宋体" w:cs="宋体"/>
                <w:b w:val="0"/>
                <w:i w:val="0"/>
                <w:color w:val="000000"/>
                <w:sz w:val="23"/>
              </w:rPr>
              <w:t>4,996,102.04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4,996,102.04</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4,996,102.04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4,996,102.04</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4,996,102.04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248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w:t>
            </w:r>
          </w:p>
        </w:tc>
        <w:tc>
          <w:tcPr>
            <w:tcW w:w="2520" w:type="dxa"/>
            <w:vAlign w:val="center"/>
          </w:tcPr>
          <w:p>
            <w:pPr>
              <w:snapToGrid w:val="0"/>
              <w:jc w:val="left"/>
            </w:pPr>
            <w:r>
              <w:rPr>
                <w:rFonts w:ascii="宋体" w:hAnsi="宋体" w:eastAsia="宋体" w:cs="宋体"/>
                <w:b w:val="0"/>
                <w:i w:val="0"/>
                <w:color w:val="000000"/>
                <w:sz w:val="14"/>
              </w:rPr>
              <w:t>教育支出</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w:t>
            </w:r>
          </w:p>
        </w:tc>
        <w:tc>
          <w:tcPr>
            <w:tcW w:w="2520" w:type="dxa"/>
            <w:vAlign w:val="center"/>
          </w:tcPr>
          <w:p>
            <w:pPr>
              <w:snapToGrid w:val="0"/>
              <w:jc w:val="left"/>
            </w:pPr>
            <w:r>
              <w:rPr>
                <w:rFonts w:ascii="宋体" w:hAnsi="宋体" w:eastAsia="宋体" w:cs="宋体"/>
                <w:b w:val="0"/>
                <w:i w:val="0"/>
                <w:color w:val="000000"/>
                <w:sz w:val="14"/>
              </w:rPr>
              <w:t>普通教育</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2050201</w:t>
            </w:r>
          </w:p>
        </w:tc>
        <w:tc>
          <w:tcPr>
            <w:tcW w:w="2520" w:type="dxa"/>
            <w:vAlign w:val="center"/>
          </w:tcPr>
          <w:p>
            <w:pPr>
              <w:snapToGrid w:val="0"/>
              <w:jc w:val="left"/>
            </w:pPr>
            <w:r>
              <w:rPr>
                <w:rFonts w:ascii="宋体" w:hAnsi="宋体" w:eastAsia="宋体" w:cs="宋体"/>
                <w:b w:val="0"/>
                <w:i w:val="0"/>
                <w:color w:val="000000"/>
                <w:sz w:val="14"/>
              </w:rPr>
              <w:t>学前教育</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pPr>
              <w:snapToGrid w:val="0"/>
              <w:jc w:val="right"/>
            </w:pPr>
            <w:r>
              <w:rPr>
                <w:rFonts w:ascii="宋体" w:hAnsi="宋体" w:eastAsia="宋体" w:cs="宋体"/>
                <w:b w:val="0"/>
                <w:i w:val="0"/>
                <w:color w:val="000000"/>
                <w:sz w:val="14"/>
              </w:rPr>
              <w:t>4,996,102.04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pPr>
              <w:snapToGrid w:val="0"/>
              <w:jc w:val="center"/>
            </w:pPr>
            <w:r>
              <w:rPr>
                <w:rFonts w:ascii="宋体" w:hAnsi="宋体" w:eastAsia="宋体" w:cs="宋体"/>
                <w:b w:val="0"/>
                <w:i w:val="0"/>
                <w:color w:val="000000"/>
                <w:sz w:val="10"/>
              </w:rPr>
              <w:t>部门（单位）代码</w:t>
            </w:r>
          </w:p>
        </w:tc>
        <w:tc>
          <w:tcPr>
            <w:tcW w:w="1700" w:type="dxa"/>
            <w:vMerge w:val="restart"/>
            <w:vAlign w:val="center"/>
          </w:tcPr>
          <w:p>
            <w:pPr>
              <w:snapToGrid w:val="0"/>
              <w:jc w:val="center"/>
            </w:pPr>
            <w:r>
              <w:rPr>
                <w:rFonts w:ascii="宋体" w:hAnsi="宋体" w:eastAsia="宋体" w:cs="宋体"/>
                <w:b w:val="0"/>
                <w:i w:val="0"/>
                <w:color w:val="000000"/>
                <w:sz w:val="10"/>
              </w:rPr>
              <w:t>部门（单位）名称</w:t>
            </w:r>
          </w:p>
        </w:tc>
        <w:tc>
          <w:tcPr>
            <w:tcW w:w="580" w:type="dxa"/>
            <w:vMerge w:val="restart"/>
            <w:vAlign w:val="center"/>
          </w:tcPr>
          <w:p>
            <w:pPr>
              <w:snapToGrid w:val="0"/>
              <w:jc w:val="center"/>
            </w:pPr>
            <w:r>
              <w:rPr>
                <w:rFonts w:ascii="宋体" w:hAnsi="宋体" w:eastAsia="宋体" w:cs="宋体"/>
                <w:b w:val="0"/>
                <w:i w:val="0"/>
                <w:color w:val="000000"/>
                <w:sz w:val="10"/>
              </w:rPr>
              <w:t>合计</w:t>
            </w:r>
          </w:p>
        </w:tc>
        <w:tc>
          <w:tcPr>
            <w:tcW w:w="5800" w:type="dxa"/>
            <w:gridSpan w:val="10"/>
            <w:vAlign w:val="center"/>
          </w:tcPr>
          <w:p>
            <w:pPr>
              <w:snapToGrid w:val="0"/>
              <w:jc w:val="center"/>
            </w:pPr>
            <w:r>
              <w:rPr>
                <w:rFonts w:ascii="宋体" w:hAnsi="宋体" w:eastAsia="宋体" w:cs="宋体"/>
                <w:b w:val="0"/>
                <w:i w:val="0"/>
                <w:color w:val="000000"/>
                <w:sz w:val="10"/>
              </w:rPr>
              <w:t>本年收入</w:t>
            </w:r>
          </w:p>
        </w:tc>
        <w:tc>
          <w:tcPr>
            <w:tcW w:w="4578" w:type="dxa"/>
            <w:gridSpan w:val="8"/>
            <w:vAlign w:val="center"/>
          </w:tcPr>
          <w:p>
            <w:pPr>
              <w:snapToGrid w:val="0"/>
              <w:jc w:val="center"/>
            </w:pPr>
            <w:r>
              <w:rPr>
                <w:rFonts w:ascii="宋体" w:hAnsi="宋体" w:eastAsia="宋体" w:cs="宋体"/>
                <w:b w:val="0"/>
                <w:i w:val="0"/>
                <w:color w:val="000000"/>
                <w:sz w:val="10"/>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580" w:type="dxa"/>
            <w:vMerge w:val="restart"/>
            <w:vAlign w:val="center"/>
          </w:tcPr>
          <w:p>
            <w:pPr>
              <w:snapToGrid w:val="0"/>
              <w:jc w:val="center"/>
            </w:pPr>
            <w:r>
              <w:rPr>
                <w:rFonts w:ascii="宋体" w:hAnsi="宋体" w:eastAsia="宋体" w:cs="宋体"/>
                <w:b w:val="0"/>
                <w:i w:val="0"/>
                <w:color w:val="000000"/>
                <w:sz w:val="10"/>
              </w:rPr>
              <w:t>一般公共预算</w:t>
            </w:r>
          </w:p>
        </w:tc>
        <w:tc>
          <w:tcPr>
            <w:tcW w:w="580" w:type="dxa"/>
            <w:vMerge w:val="restart"/>
            <w:vAlign w:val="center"/>
          </w:tcPr>
          <w:p>
            <w:pPr>
              <w:snapToGrid w:val="0"/>
              <w:jc w:val="center"/>
            </w:pPr>
            <w:r>
              <w:rPr>
                <w:rFonts w:ascii="宋体" w:hAnsi="宋体" w:eastAsia="宋体" w:cs="宋体"/>
                <w:b w:val="0"/>
                <w:i w:val="0"/>
                <w:color w:val="000000"/>
                <w:sz w:val="10"/>
              </w:rPr>
              <w:t>政府性基金预算</w:t>
            </w:r>
          </w:p>
        </w:tc>
        <w:tc>
          <w:tcPr>
            <w:tcW w:w="580" w:type="dxa"/>
            <w:vMerge w:val="restart"/>
            <w:vAlign w:val="center"/>
          </w:tcPr>
          <w:p>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pPr>
              <w:snapToGrid w:val="0"/>
              <w:jc w:val="center"/>
            </w:pPr>
            <w:r>
              <w:rPr>
                <w:rFonts w:ascii="宋体" w:hAnsi="宋体" w:eastAsia="宋体" w:cs="宋体"/>
                <w:b w:val="0"/>
                <w:i w:val="0"/>
                <w:color w:val="000000"/>
                <w:sz w:val="10"/>
              </w:rPr>
              <w:t>事业收入</w:t>
            </w:r>
          </w:p>
        </w:tc>
        <w:tc>
          <w:tcPr>
            <w:tcW w:w="580" w:type="dxa"/>
            <w:vMerge w:val="restart"/>
            <w:vAlign w:val="center"/>
          </w:tcPr>
          <w:p>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pPr>
              <w:snapToGrid w:val="0"/>
              <w:jc w:val="center"/>
            </w:pPr>
            <w:r>
              <w:rPr>
                <w:rFonts w:ascii="宋体" w:hAnsi="宋体" w:eastAsia="宋体" w:cs="宋体"/>
                <w:b w:val="0"/>
                <w:i w:val="0"/>
                <w:color w:val="000000"/>
                <w:sz w:val="10"/>
              </w:rPr>
              <w:t>上级补助收入</w:t>
            </w:r>
          </w:p>
        </w:tc>
        <w:tc>
          <w:tcPr>
            <w:tcW w:w="580" w:type="dxa"/>
            <w:vMerge w:val="restart"/>
            <w:vAlign w:val="center"/>
          </w:tcPr>
          <w:p>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pPr>
              <w:snapToGrid w:val="0"/>
              <w:jc w:val="center"/>
            </w:pPr>
            <w:r>
              <w:rPr>
                <w:rFonts w:ascii="宋体" w:hAnsi="宋体" w:eastAsia="宋体" w:cs="宋体"/>
                <w:b w:val="0"/>
                <w:i w:val="0"/>
                <w:color w:val="000000"/>
                <w:sz w:val="10"/>
              </w:rPr>
              <w:t>其他收入</w:t>
            </w: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2320" w:type="dxa"/>
            <w:gridSpan w:val="4"/>
            <w:vAlign w:val="center"/>
          </w:tcPr>
          <w:p>
            <w:pPr>
              <w:snapToGrid w:val="0"/>
              <w:jc w:val="center"/>
            </w:pPr>
            <w:r>
              <w:rPr>
                <w:rFonts w:ascii="宋体" w:hAnsi="宋体" w:eastAsia="宋体" w:cs="宋体"/>
                <w:b w:val="0"/>
                <w:i w:val="0"/>
                <w:color w:val="000000"/>
                <w:sz w:val="10"/>
              </w:rPr>
              <w:t>财政拨款结转结余</w:t>
            </w:r>
          </w:p>
        </w:tc>
        <w:tc>
          <w:tcPr>
            <w:tcW w:w="1678" w:type="dxa"/>
            <w:gridSpan w:val="3"/>
            <w:vAlign w:val="center"/>
          </w:tcPr>
          <w:p>
            <w:pPr>
              <w:snapToGrid w:val="0"/>
              <w:jc w:val="center"/>
            </w:pPr>
            <w:r>
              <w:rPr>
                <w:rFonts w:ascii="宋体" w:hAnsi="宋体" w:eastAsia="宋体" w:cs="宋体"/>
                <w:b w:val="0"/>
                <w:i w:val="0"/>
                <w:color w:val="000000"/>
                <w:sz w:val="10"/>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一般公共预算</w:t>
            </w:r>
          </w:p>
        </w:tc>
        <w:tc>
          <w:tcPr>
            <w:tcW w:w="580" w:type="dxa"/>
            <w:vAlign w:val="center"/>
          </w:tcPr>
          <w:p>
            <w:pPr>
              <w:snapToGrid w:val="0"/>
              <w:jc w:val="center"/>
            </w:pPr>
            <w:r>
              <w:rPr>
                <w:rFonts w:ascii="宋体" w:hAnsi="宋体" w:eastAsia="宋体" w:cs="宋体"/>
                <w:b w:val="0"/>
                <w:i w:val="0"/>
                <w:color w:val="000000"/>
                <w:sz w:val="10"/>
              </w:rPr>
              <w:t>政府性基金预算</w:t>
            </w:r>
          </w:p>
        </w:tc>
        <w:tc>
          <w:tcPr>
            <w:tcW w:w="580" w:type="dxa"/>
            <w:vAlign w:val="center"/>
          </w:tcPr>
          <w:p>
            <w:pPr>
              <w:snapToGrid w:val="0"/>
              <w:jc w:val="center"/>
            </w:pPr>
            <w:r>
              <w:rPr>
                <w:rFonts w:ascii="宋体" w:hAnsi="宋体" w:eastAsia="宋体" w:cs="宋体"/>
                <w:b w:val="0"/>
                <w:i w:val="0"/>
                <w:color w:val="000000"/>
                <w:sz w:val="10"/>
              </w:rPr>
              <w:t>国有资本经营预算</w:t>
            </w: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财政专户管理资金</w:t>
            </w:r>
          </w:p>
        </w:tc>
        <w:tc>
          <w:tcPr>
            <w:tcW w:w="518" w:type="dxa"/>
            <w:vAlign w:val="center"/>
          </w:tcPr>
          <w:p>
            <w:pPr>
              <w:snapToGrid w:val="0"/>
              <w:jc w:val="center"/>
            </w:pPr>
            <w:r>
              <w:rPr>
                <w:rFonts w:ascii="宋体" w:hAnsi="宋体" w:eastAsia="宋体" w:cs="宋体"/>
                <w:b w:val="0"/>
                <w:i w:val="0"/>
                <w:color w:val="000000"/>
                <w:sz w:val="10"/>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pPr>
              <w:snapToGrid w:val="0"/>
              <w:jc w:val="center"/>
            </w:pPr>
            <w:r>
              <w:rPr>
                <w:rFonts w:ascii="宋体" w:hAnsi="宋体" w:eastAsia="宋体" w:cs="宋体"/>
                <w:b w:val="0"/>
                <w:i w:val="0"/>
                <w:color w:val="000000"/>
                <w:sz w:val="10"/>
              </w:rPr>
              <w:t>合计</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pPr>
              <w:snapToGrid w:val="0"/>
              <w:jc w:val="left"/>
            </w:pPr>
            <w:r>
              <w:rPr>
                <w:rFonts w:ascii="宋体" w:hAnsi="宋体" w:eastAsia="宋体" w:cs="宋体"/>
                <w:b w:val="0"/>
                <w:i w:val="0"/>
                <w:color w:val="000000"/>
                <w:sz w:val="10"/>
              </w:rPr>
              <w:t>809210</w:t>
            </w:r>
          </w:p>
        </w:tc>
        <w:tc>
          <w:tcPr>
            <w:tcW w:w="1700" w:type="dxa"/>
            <w:vAlign w:val="center"/>
          </w:tcPr>
          <w:p>
            <w:pPr>
              <w:snapToGrid w:val="0"/>
              <w:jc w:val="left"/>
            </w:pPr>
            <w:r>
              <w:rPr>
                <w:rFonts w:ascii="宋体" w:hAnsi="宋体" w:eastAsia="宋体" w:cs="宋体"/>
                <w:b w:val="0"/>
                <w:i w:val="0"/>
                <w:color w:val="000000"/>
                <w:sz w:val="10"/>
              </w:rPr>
              <w:t>天津市西青区杨柳青镇第二幼儿园</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pPr>
              <w:snapToGrid w:val="0"/>
              <w:jc w:val="right"/>
            </w:pPr>
            <w:r>
              <w:rPr>
                <w:rFonts w:ascii="宋体" w:hAnsi="宋体" w:eastAsia="宋体" w:cs="宋体"/>
                <w:b w:val="0"/>
                <w:i w:val="0"/>
                <w:color w:val="000000"/>
                <w:sz w:val="10"/>
              </w:rPr>
              <w:t>4,996,102.04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本年支出合计</w:t>
            </w:r>
          </w:p>
        </w:tc>
        <w:tc>
          <w:tcPr>
            <w:tcW w:w="1520" w:type="dxa"/>
            <w:vMerge w:val="restart"/>
            <w:vAlign w:val="center"/>
          </w:tcPr>
          <w:p>
            <w:pPr>
              <w:snapToGrid w:val="0"/>
              <w:jc w:val="center"/>
            </w:pPr>
            <w:r>
              <w:rPr>
                <w:rFonts w:ascii="宋体" w:hAnsi="宋体" w:eastAsia="宋体" w:cs="宋体"/>
                <w:b w:val="0"/>
                <w:i w:val="0"/>
                <w:color w:val="000000"/>
                <w:sz w:val="18"/>
              </w:rPr>
              <w:t>基本支出</w:t>
            </w:r>
          </w:p>
        </w:tc>
        <w:tc>
          <w:tcPr>
            <w:tcW w:w="1520" w:type="dxa"/>
            <w:vMerge w:val="restart"/>
            <w:vAlign w:val="center"/>
          </w:tcPr>
          <w:p>
            <w:pPr>
              <w:snapToGrid w:val="0"/>
              <w:jc w:val="center"/>
            </w:pPr>
            <w:r>
              <w:rPr>
                <w:rFonts w:ascii="宋体" w:hAnsi="宋体" w:eastAsia="宋体" w:cs="宋体"/>
                <w:b w:val="0"/>
                <w:i w:val="0"/>
                <w:color w:val="000000"/>
                <w:sz w:val="18"/>
              </w:rPr>
              <w:t>项目支出</w:t>
            </w:r>
          </w:p>
        </w:tc>
        <w:tc>
          <w:tcPr>
            <w:tcW w:w="1520" w:type="dxa"/>
            <w:vMerge w:val="restart"/>
            <w:vAlign w:val="center"/>
          </w:tcPr>
          <w:p>
            <w:pPr>
              <w:snapToGrid w:val="0"/>
              <w:jc w:val="center"/>
            </w:pPr>
            <w:r>
              <w:rPr>
                <w:rFonts w:ascii="宋体" w:hAnsi="宋体" w:eastAsia="宋体" w:cs="宋体"/>
                <w:b w:val="0"/>
                <w:i w:val="0"/>
                <w:color w:val="000000"/>
                <w:sz w:val="18"/>
              </w:rPr>
              <w:t>上缴上级支出</w:t>
            </w:r>
          </w:p>
        </w:tc>
        <w:tc>
          <w:tcPr>
            <w:tcW w:w="1520" w:type="dxa"/>
            <w:vMerge w:val="restart"/>
            <w:vAlign w:val="center"/>
          </w:tcPr>
          <w:p>
            <w:pPr>
              <w:snapToGrid w:val="0"/>
              <w:jc w:val="center"/>
            </w:pPr>
            <w:r>
              <w:rPr>
                <w:rFonts w:ascii="宋体" w:hAnsi="宋体" w:eastAsia="宋体" w:cs="宋体"/>
                <w:b w:val="0"/>
                <w:i w:val="0"/>
                <w:color w:val="000000"/>
                <w:sz w:val="18"/>
              </w:rPr>
              <w:t>经营支出</w:t>
            </w:r>
          </w:p>
        </w:tc>
        <w:tc>
          <w:tcPr>
            <w:tcW w:w="1518" w:type="dxa"/>
            <w:vMerge w:val="restart"/>
            <w:vAlign w:val="center"/>
          </w:tcPr>
          <w:p>
            <w:pPr>
              <w:snapToGrid w:val="0"/>
              <w:jc w:val="center"/>
            </w:pPr>
            <w:r>
              <w:rPr>
                <w:rFonts w:ascii="宋体" w:hAnsi="宋体" w:eastAsia="宋体" w:cs="宋体"/>
                <w:b w:val="0"/>
                <w:i w:val="0"/>
                <w:color w:val="000000"/>
                <w:sz w:val="18"/>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right"/>
            </w:pPr>
            <w:r>
              <w:rPr>
                <w:rFonts w:ascii="宋体" w:hAnsi="宋体" w:eastAsia="宋体" w:cs="宋体"/>
                <w:b w:val="0"/>
                <w:i w:val="0"/>
                <w:color w:val="000000"/>
                <w:sz w:val="18"/>
              </w:rPr>
              <w:t>4,996,102.04</w:t>
            </w:r>
          </w:p>
        </w:tc>
        <w:tc>
          <w:tcPr>
            <w:tcW w:w="1520" w:type="dxa"/>
            <w:vAlign w:val="center"/>
          </w:tcPr>
          <w:p>
            <w:pPr>
              <w:snapToGrid w:val="0"/>
              <w:jc w:val="right"/>
            </w:pPr>
            <w:r>
              <w:rPr>
                <w:rFonts w:ascii="宋体" w:hAnsi="宋体" w:eastAsia="宋体" w:cs="宋体"/>
                <w:b w:val="0"/>
                <w:i w:val="0"/>
                <w:color w:val="000000"/>
                <w:sz w:val="18"/>
              </w:rPr>
              <w:t>4,696,102.04</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w:t>
            </w:r>
          </w:p>
        </w:tc>
        <w:tc>
          <w:tcPr>
            <w:tcW w:w="3080" w:type="dxa"/>
            <w:vAlign w:val="center"/>
          </w:tcPr>
          <w:p>
            <w:pPr>
              <w:snapToGrid w:val="0"/>
              <w:jc w:val="left"/>
            </w:pPr>
            <w:r>
              <w:rPr>
                <w:rFonts w:ascii="宋体" w:hAnsi="宋体" w:eastAsia="宋体" w:cs="宋体"/>
                <w:b w:val="0"/>
                <w:i w:val="0"/>
                <w:color w:val="000000"/>
                <w:sz w:val="18"/>
              </w:rPr>
              <w:t>教育支出</w:t>
            </w:r>
          </w:p>
        </w:tc>
        <w:tc>
          <w:tcPr>
            <w:tcW w:w="1520" w:type="dxa"/>
            <w:vAlign w:val="center"/>
          </w:tcPr>
          <w:p>
            <w:pPr>
              <w:snapToGrid w:val="0"/>
              <w:jc w:val="right"/>
            </w:pPr>
            <w:r>
              <w:rPr>
                <w:rFonts w:ascii="宋体" w:hAnsi="宋体" w:eastAsia="宋体" w:cs="宋体"/>
                <w:b w:val="0"/>
                <w:i w:val="0"/>
                <w:color w:val="000000"/>
                <w:sz w:val="18"/>
              </w:rPr>
              <w:t>4,996,102.04</w:t>
            </w:r>
          </w:p>
        </w:tc>
        <w:tc>
          <w:tcPr>
            <w:tcW w:w="1520" w:type="dxa"/>
            <w:vAlign w:val="center"/>
          </w:tcPr>
          <w:p>
            <w:pPr>
              <w:snapToGrid w:val="0"/>
              <w:jc w:val="right"/>
            </w:pPr>
            <w:r>
              <w:rPr>
                <w:rFonts w:ascii="宋体" w:hAnsi="宋体" w:eastAsia="宋体" w:cs="宋体"/>
                <w:b w:val="0"/>
                <w:i w:val="0"/>
                <w:color w:val="000000"/>
                <w:sz w:val="18"/>
              </w:rPr>
              <w:t>4,696,102.04</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w:t>
            </w:r>
          </w:p>
        </w:tc>
        <w:tc>
          <w:tcPr>
            <w:tcW w:w="3080" w:type="dxa"/>
            <w:vAlign w:val="center"/>
          </w:tcPr>
          <w:p>
            <w:pPr>
              <w:snapToGrid w:val="0"/>
              <w:jc w:val="left"/>
            </w:pPr>
            <w:r>
              <w:rPr>
                <w:rFonts w:ascii="宋体" w:hAnsi="宋体" w:eastAsia="宋体" w:cs="宋体"/>
                <w:b w:val="0"/>
                <w:i w:val="0"/>
                <w:color w:val="000000"/>
                <w:sz w:val="18"/>
              </w:rPr>
              <w:t>普通教育</w:t>
            </w:r>
          </w:p>
        </w:tc>
        <w:tc>
          <w:tcPr>
            <w:tcW w:w="1520" w:type="dxa"/>
            <w:vAlign w:val="center"/>
          </w:tcPr>
          <w:p>
            <w:pPr>
              <w:snapToGrid w:val="0"/>
              <w:jc w:val="right"/>
            </w:pPr>
            <w:r>
              <w:rPr>
                <w:rFonts w:ascii="宋体" w:hAnsi="宋体" w:eastAsia="宋体" w:cs="宋体"/>
                <w:b w:val="0"/>
                <w:i w:val="0"/>
                <w:color w:val="000000"/>
                <w:sz w:val="18"/>
              </w:rPr>
              <w:t>4,996,102.04</w:t>
            </w:r>
          </w:p>
        </w:tc>
        <w:tc>
          <w:tcPr>
            <w:tcW w:w="1520" w:type="dxa"/>
            <w:vAlign w:val="center"/>
          </w:tcPr>
          <w:p>
            <w:pPr>
              <w:snapToGrid w:val="0"/>
              <w:jc w:val="right"/>
            </w:pPr>
            <w:r>
              <w:rPr>
                <w:rFonts w:ascii="宋体" w:hAnsi="宋体" w:eastAsia="宋体" w:cs="宋体"/>
                <w:b w:val="0"/>
                <w:i w:val="0"/>
                <w:color w:val="000000"/>
                <w:sz w:val="18"/>
              </w:rPr>
              <w:t>4,696,102.04</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2050201</w:t>
            </w:r>
          </w:p>
        </w:tc>
        <w:tc>
          <w:tcPr>
            <w:tcW w:w="3080" w:type="dxa"/>
            <w:vAlign w:val="center"/>
          </w:tcPr>
          <w:p>
            <w:pPr>
              <w:snapToGrid w:val="0"/>
              <w:jc w:val="left"/>
            </w:pPr>
            <w:r>
              <w:rPr>
                <w:rFonts w:ascii="宋体" w:hAnsi="宋体" w:eastAsia="宋体" w:cs="宋体"/>
                <w:b w:val="0"/>
                <w:i w:val="0"/>
                <w:color w:val="000000"/>
                <w:sz w:val="18"/>
              </w:rPr>
              <w:t>学前教育</w:t>
            </w:r>
          </w:p>
        </w:tc>
        <w:tc>
          <w:tcPr>
            <w:tcW w:w="1520" w:type="dxa"/>
            <w:vAlign w:val="center"/>
          </w:tcPr>
          <w:p>
            <w:pPr>
              <w:snapToGrid w:val="0"/>
              <w:jc w:val="right"/>
            </w:pPr>
            <w:r>
              <w:rPr>
                <w:rFonts w:ascii="宋体" w:hAnsi="宋体" w:eastAsia="宋体" w:cs="宋体"/>
                <w:b w:val="0"/>
                <w:i w:val="0"/>
                <w:color w:val="000000"/>
                <w:sz w:val="18"/>
              </w:rPr>
              <w:t>4,996,102.04</w:t>
            </w:r>
          </w:p>
        </w:tc>
        <w:tc>
          <w:tcPr>
            <w:tcW w:w="1520" w:type="dxa"/>
            <w:vAlign w:val="center"/>
          </w:tcPr>
          <w:p>
            <w:pPr>
              <w:snapToGrid w:val="0"/>
              <w:jc w:val="right"/>
            </w:pPr>
            <w:r>
              <w:rPr>
                <w:rFonts w:ascii="宋体" w:hAnsi="宋体" w:eastAsia="宋体" w:cs="宋体"/>
                <w:b w:val="0"/>
                <w:i w:val="0"/>
                <w:color w:val="000000"/>
                <w:sz w:val="18"/>
              </w:rPr>
              <w:t>4,696,102.04</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注：本表反映本年度各项支出情况。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pPr>
              <w:snapToGrid w:val="0"/>
              <w:jc w:val="center"/>
            </w:pPr>
            <w:r>
              <w:rPr>
                <w:rFonts w:ascii="宋体" w:hAnsi="宋体" w:eastAsia="宋体" w:cs="宋体"/>
                <w:b w:val="0"/>
                <w:i w:val="0"/>
                <w:color w:val="000000"/>
                <w:sz w:val="16"/>
              </w:rPr>
              <w:t>收入</w:t>
            </w:r>
          </w:p>
        </w:tc>
        <w:tc>
          <w:tcPr>
            <w:tcW w:w="8398"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4,996,102.04</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4,996,102.04</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4,996,102.04</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pPr>
              <w:snapToGrid w:val="0"/>
              <w:jc w:val="right"/>
            </w:pPr>
            <w:r>
              <w:rPr>
                <w:rFonts w:ascii="宋体" w:hAnsi="宋体" w:eastAsia="宋体" w:cs="宋体"/>
                <w:b w:val="0"/>
                <w:i w:val="0"/>
                <w:color w:val="000000"/>
                <w:sz w:val="16"/>
              </w:rPr>
              <w:t>4,996,102.04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516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4,996,102.04</w:t>
            </w:r>
          </w:p>
        </w:tc>
        <w:tc>
          <w:tcPr>
            <w:tcW w:w="1720" w:type="dxa"/>
            <w:vAlign w:val="center"/>
          </w:tcPr>
          <w:p>
            <w:pPr>
              <w:snapToGrid w:val="0"/>
              <w:jc w:val="right"/>
            </w:pPr>
            <w:r>
              <w:rPr>
                <w:rFonts w:ascii="宋体" w:hAnsi="宋体" w:eastAsia="宋体" w:cs="宋体"/>
                <w:b w:val="0"/>
                <w:i w:val="0"/>
                <w:color w:val="000000"/>
                <w:sz w:val="20"/>
              </w:rPr>
              <w:t>4,696,102.04</w:t>
            </w:r>
          </w:p>
        </w:tc>
        <w:tc>
          <w:tcPr>
            <w:tcW w:w="1720" w:type="dxa"/>
            <w:vAlign w:val="center"/>
          </w:tcPr>
          <w:p>
            <w:pPr>
              <w:snapToGrid w:val="0"/>
              <w:jc w:val="right"/>
            </w:pPr>
            <w:r>
              <w:rPr>
                <w:rFonts w:ascii="宋体" w:hAnsi="宋体" w:eastAsia="宋体" w:cs="宋体"/>
                <w:b w:val="0"/>
                <w:i w:val="0"/>
                <w:color w:val="000000"/>
                <w:sz w:val="20"/>
              </w:rPr>
              <w:t>3,109,706.07</w:t>
            </w:r>
          </w:p>
        </w:tc>
        <w:tc>
          <w:tcPr>
            <w:tcW w:w="1720" w:type="dxa"/>
            <w:vAlign w:val="center"/>
          </w:tcPr>
          <w:p>
            <w:pPr>
              <w:snapToGrid w:val="0"/>
              <w:jc w:val="right"/>
            </w:pPr>
            <w:r>
              <w:rPr>
                <w:rFonts w:ascii="宋体" w:hAnsi="宋体" w:eastAsia="宋体" w:cs="宋体"/>
                <w:b w:val="0"/>
                <w:i w:val="0"/>
                <w:color w:val="000000"/>
                <w:sz w:val="20"/>
              </w:rPr>
              <w:t>1,586,395.97</w:t>
            </w:r>
          </w:p>
        </w:tc>
        <w:tc>
          <w:tcPr>
            <w:tcW w:w="1698" w:type="dxa"/>
            <w:vAlign w:val="center"/>
          </w:tcPr>
          <w:p>
            <w:pPr>
              <w:snapToGrid w:val="0"/>
              <w:jc w:val="right"/>
            </w:pPr>
            <w:r>
              <w:rPr>
                <w:rFonts w:ascii="宋体" w:hAnsi="宋体" w:eastAsia="宋体" w:cs="宋体"/>
                <w:b w:val="0"/>
                <w:i w:val="0"/>
                <w:color w:val="000000"/>
                <w:sz w:val="20"/>
              </w:rPr>
              <w:t>300,000.00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w:t>
            </w:r>
          </w:p>
        </w:tc>
        <w:tc>
          <w:tcPr>
            <w:tcW w:w="3480" w:type="dxa"/>
            <w:vAlign w:val="center"/>
          </w:tcPr>
          <w:p>
            <w:pPr>
              <w:snapToGrid w:val="0"/>
              <w:jc w:val="left"/>
            </w:pPr>
            <w:r>
              <w:rPr>
                <w:rFonts w:ascii="宋体" w:hAnsi="宋体" w:eastAsia="宋体" w:cs="宋体"/>
                <w:b w:val="0"/>
                <w:i w:val="0"/>
                <w:color w:val="000000"/>
                <w:sz w:val="20"/>
              </w:rPr>
              <w:t>教育支出</w:t>
            </w:r>
          </w:p>
        </w:tc>
        <w:tc>
          <w:tcPr>
            <w:tcW w:w="1720" w:type="dxa"/>
            <w:vAlign w:val="center"/>
          </w:tcPr>
          <w:p>
            <w:pPr>
              <w:snapToGrid w:val="0"/>
              <w:jc w:val="right"/>
            </w:pPr>
            <w:r>
              <w:rPr>
                <w:rFonts w:ascii="宋体" w:hAnsi="宋体" w:eastAsia="宋体" w:cs="宋体"/>
                <w:b w:val="0"/>
                <w:i w:val="0"/>
                <w:color w:val="000000"/>
                <w:sz w:val="20"/>
              </w:rPr>
              <w:t>4,996,102.04</w:t>
            </w:r>
          </w:p>
        </w:tc>
        <w:tc>
          <w:tcPr>
            <w:tcW w:w="1720" w:type="dxa"/>
            <w:vAlign w:val="center"/>
          </w:tcPr>
          <w:p>
            <w:pPr>
              <w:snapToGrid w:val="0"/>
              <w:jc w:val="right"/>
            </w:pPr>
            <w:r>
              <w:rPr>
                <w:rFonts w:ascii="宋体" w:hAnsi="宋体" w:eastAsia="宋体" w:cs="宋体"/>
                <w:b w:val="0"/>
                <w:i w:val="0"/>
                <w:color w:val="000000"/>
                <w:sz w:val="20"/>
              </w:rPr>
              <w:t>4,696,102.04</w:t>
            </w:r>
          </w:p>
        </w:tc>
        <w:tc>
          <w:tcPr>
            <w:tcW w:w="1720" w:type="dxa"/>
            <w:vAlign w:val="center"/>
          </w:tcPr>
          <w:p>
            <w:pPr>
              <w:snapToGrid w:val="0"/>
              <w:jc w:val="right"/>
            </w:pPr>
            <w:r>
              <w:rPr>
                <w:rFonts w:ascii="宋体" w:hAnsi="宋体" w:eastAsia="宋体" w:cs="宋体"/>
                <w:b w:val="0"/>
                <w:i w:val="0"/>
                <w:color w:val="000000"/>
                <w:sz w:val="20"/>
              </w:rPr>
              <w:t>3,109,706.07</w:t>
            </w:r>
          </w:p>
        </w:tc>
        <w:tc>
          <w:tcPr>
            <w:tcW w:w="1720" w:type="dxa"/>
            <w:vAlign w:val="center"/>
          </w:tcPr>
          <w:p>
            <w:pPr>
              <w:snapToGrid w:val="0"/>
              <w:jc w:val="right"/>
            </w:pPr>
            <w:r>
              <w:rPr>
                <w:rFonts w:ascii="宋体" w:hAnsi="宋体" w:eastAsia="宋体" w:cs="宋体"/>
                <w:b w:val="0"/>
                <w:i w:val="0"/>
                <w:color w:val="000000"/>
                <w:sz w:val="20"/>
              </w:rPr>
              <w:t>1,586,395.97</w:t>
            </w:r>
          </w:p>
        </w:tc>
        <w:tc>
          <w:tcPr>
            <w:tcW w:w="1698" w:type="dxa"/>
            <w:vAlign w:val="center"/>
          </w:tcPr>
          <w:p>
            <w:pPr>
              <w:snapToGrid w:val="0"/>
              <w:jc w:val="right"/>
            </w:pPr>
            <w:r>
              <w:rPr>
                <w:rFonts w:ascii="宋体" w:hAnsi="宋体" w:eastAsia="宋体" w:cs="宋体"/>
                <w:b w:val="0"/>
                <w:i w:val="0"/>
                <w:color w:val="000000"/>
                <w:sz w:val="20"/>
              </w:rPr>
              <w:t>300,000.00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w:t>
            </w:r>
          </w:p>
        </w:tc>
        <w:tc>
          <w:tcPr>
            <w:tcW w:w="3480" w:type="dxa"/>
            <w:vAlign w:val="center"/>
          </w:tcPr>
          <w:p>
            <w:pPr>
              <w:snapToGrid w:val="0"/>
              <w:jc w:val="left"/>
            </w:pPr>
            <w:r>
              <w:rPr>
                <w:rFonts w:ascii="宋体" w:hAnsi="宋体" w:eastAsia="宋体" w:cs="宋体"/>
                <w:b w:val="0"/>
                <w:i w:val="0"/>
                <w:color w:val="000000"/>
                <w:sz w:val="20"/>
              </w:rPr>
              <w:t>普通教育</w:t>
            </w:r>
          </w:p>
        </w:tc>
        <w:tc>
          <w:tcPr>
            <w:tcW w:w="1720" w:type="dxa"/>
            <w:vAlign w:val="center"/>
          </w:tcPr>
          <w:p>
            <w:pPr>
              <w:snapToGrid w:val="0"/>
              <w:jc w:val="right"/>
            </w:pPr>
            <w:r>
              <w:rPr>
                <w:rFonts w:ascii="宋体" w:hAnsi="宋体" w:eastAsia="宋体" w:cs="宋体"/>
                <w:b w:val="0"/>
                <w:i w:val="0"/>
                <w:color w:val="000000"/>
                <w:sz w:val="20"/>
              </w:rPr>
              <w:t>4,996,102.04</w:t>
            </w:r>
          </w:p>
        </w:tc>
        <w:tc>
          <w:tcPr>
            <w:tcW w:w="1720" w:type="dxa"/>
            <w:vAlign w:val="center"/>
          </w:tcPr>
          <w:p>
            <w:pPr>
              <w:snapToGrid w:val="0"/>
              <w:jc w:val="right"/>
            </w:pPr>
            <w:r>
              <w:rPr>
                <w:rFonts w:ascii="宋体" w:hAnsi="宋体" w:eastAsia="宋体" w:cs="宋体"/>
                <w:b w:val="0"/>
                <w:i w:val="0"/>
                <w:color w:val="000000"/>
                <w:sz w:val="20"/>
              </w:rPr>
              <w:t>4,696,102.04</w:t>
            </w:r>
          </w:p>
        </w:tc>
        <w:tc>
          <w:tcPr>
            <w:tcW w:w="1720" w:type="dxa"/>
            <w:vAlign w:val="center"/>
          </w:tcPr>
          <w:p>
            <w:pPr>
              <w:snapToGrid w:val="0"/>
              <w:jc w:val="right"/>
            </w:pPr>
            <w:r>
              <w:rPr>
                <w:rFonts w:ascii="宋体" w:hAnsi="宋体" w:eastAsia="宋体" w:cs="宋体"/>
                <w:b w:val="0"/>
                <w:i w:val="0"/>
                <w:color w:val="000000"/>
                <w:sz w:val="20"/>
              </w:rPr>
              <w:t>3,109,706.07</w:t>
            </w:r>
          </w:p>
        </w:tc>
        <w:tc>
          <w:tcPr>
            <w:tcW w:w="1720" w:type="dxa"/>
            <w:vAlign w:val="center"/>
          </w:tcPr>
          <w:p>
            <w:pPr>
              <w:snapToGrid w:val="0"/>
              <w:jc w:val="right"/>
            </w:pPr>
            <w:r>
              <w:rPr>
                <w:rFonts w:ascii="宋体" w:hAnsi="宋体" w:eastAsia="宋体" w:cs="宋体"/>
                <w:b w:val="0"/>
                <w:i w:val="0"/>
                <w:color w:val="000000"/>
                <w:sz w:val="20"/>
              </w:rPr>
              <w:t>1,586,395.97</w:t>
            </w:r>
          </w:p>
        </w:tc>
        <w:tc>
          <w:tcPr>
            <w:tcW w:w="1698" w:type="dxa"/>
            <w:vAlign w:val="center"/>
          </w:tcPr>
          <w:p>
            <w:pPr>
              <w:snapToGrid w:val="0"/>
              <w:jc w:val="right"/>
            </w:pPr>
            <w:r>
              <w:rPr>
                <w:rFonts w:ascii="宋体" w:hAnsi="宋体" w:eastAsia="宋体" w:cs="宋体"/>
                <w:b w:val="0"/>
                <w:i w:val="0"/>
                <w:color w:val="000000"/>
                <w:sz w:val="20"/>
              </w:rPr>
              <w:t>300,000.00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2050201</w:t>
            </w:r>
          </w:p>
        </w:tc>
        <w:tc>
          <w:tcPr>
            <w:tcW w:w="3480" w:type="dxa"/>
            <w:vAlign w:val="center"/>
          </w:tcPr>
          <w:p>
            <w:pPr>
              <w:snapToGrid w:val="0"/>
              <w:jc w:val="left"/>
            </w:pPr>
            <w:r>
              <w:rPr>
                <w:rFonts w:ascii="宋体" w:hAnsi="宋体" w:eastAsia="宋体" w:cs="宋体"/>
                <w:b w:val="0"/>
                <w:i w:val="0"/>
                <w:color w:val="000000"/>
                <w:sz w:val="20"/>
              </w:rPr>
              <w:t>学前教育</w:t>
            </w:r>
          </w:p>
        </w:tc>
        <w:tc>
          <w:tcPr>
            <w:tcW w:w="1720" w:type="dxa"/>
            <w:vAlign w:val="center"/>
          </w:tcPr>
          <w:p>
            <w:pPr>
              <w:snapToGrid w:val="0"/>
              <w:jc w:val="right"/>
            </w:pPr>
            <w:r>
              <w:rPr>
                <w:rFonts w:ascii="宋体" w:hAnsi="宋体" w:eastAsia="宋体" w:cs="宋体"/>
                <w:b w:val="0"/>
                <w:i w:val="0"/>
                <w:color w:val="000000"/>
                <w:sz w:val="20"/>
              </w:rPr>
              <w:t>4,996,102.04</w:t>
            </w:r>
          </w:p>
        </w:tc>
        <w:tc>
          <w:tcPr>
            <w:tcW w:w="1720" w:type="dxa"/>
            <w:vAlign w:val="center"/>
          </w:tcPr>
          <w:p>
            <w:pPr>
              <w:snapToGrid w:val="0"/>
              <w:jc w:val="right"/>
            </w:pPr>
            <w:r>
              <w:rPr>
                <w:rFonts w:ascii="宋体" w:hAnsi="宋体" w:eastAsia="宋体" w:cs="宋体"/>
                <w:b w:val="0"/>
                <w:i w:val="0"/>
                <w:color w:val="000000"/>
                <w:sz w:val="20"/>
              </w:rPr>
              <w:t>4,696,102.04</w:t>
            </w:r>
          </w:p>
        </w:tc>
        <w:tc>
          <w:tcPr>
            <w:tcW w:w="1720" w:type="dxa"/>
            <w:vAlign w:val="center"/>
          </w:tcPr>
          <w:p>
            <w:pPr>
              <w:snapToGrid w:val="0"/>
              <w:jc w:val="right"/>
            </w:pPr>
            <w:r>
              <w:rPr>
                <w:rFonts w:ascii="宋体" w:hAnsi="宋体" w:eastAsia="宋体" w:cs="宋体"/>
                <w:b w:val="0"/>
                <w:i w:val="0"/>
                <w:color w:val="000000"/>
                <w:sz w:val="20"/>
              </w:rPr>
              <w:t>3,109,706.07</w:t>
            </w:r>
          </w:p>
        </w:tc>
        <w:tc>
          <w:tcPr>
            <w:tcW w:w="1720" w:type="dxa"/>
            <w:vAlign w:val="center"/>
          </w:tcPr>
          <w:p>
            <w:pPr>
              <w:snapToGrid w:val="0"/>
              <w:jc w:val="right"/>
            </w:pPr>
            <w:r>
              <w:rPr>
                <w:rFonts w:ascii="宋体" w:hAnsi="宋体" w:eastAsia="宋体" w:cs="宋体"/>
                <w:b w:val="0"/>
                <w:i w:val="0"/>
                <w:color w:val="000000"/>
                <w:sz w:val="20"/>
              </w:rPr>
              <w:t>1,586,395.97</w:t>
            </w:r>
          </w:p>
        </w:tc>
        <w:tc>
          <w:tcPr>
            <w:tcW w:w="1698" w:type="dxa"/>
            <w:vAlign w:val="center"/>
          </w:tcPr>
          <w:p>
            <w:pPr>
              <w:snapToGrid w:val="0"/>
              <w:jc w:val="right"/>
            </w:pPr>
            <w:r>
              <w:rPr>
                <w:rFonts w:ascii="宋体" w:hAnsi="宋体" w:eastAsia="宋体" w:cs="宋体"/>
                <w:b w:val="0"/>
                <w:i w:val="0"/>
                <w:color w:val="000000"/>
                <w:sz w:val="20"/>
              </w:rPr>
              <w:t>300,000.00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pPr>
              <w:snapToGrid w:val="0"/>
              <w:jc w:val="center"/>
            </w:pPr>
            <w:r>
              <w:rPr>
                <w:rFonts w:ascii="宋体" w:hAnsi="宋体" w:eastAsia="宋体" w:cs="宋体"/>
                <w:b w:val="0"/>
                <w:i w:val="0"/>
                <w:color w:val="000000"/>
                <w:sz w:val="14"/>
              </w:rPr>
              <w:t>人员经费</w:t>
            </w:r>
          </w:p>
        </w:tc>
        <w:tc>
          <w:tcPr>
            <w:tcW w:w="9038"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3,107,606.07</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1,530,352.30</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302,297.50</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108,515.67</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192,978.00</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pPr>
              <w:snapToGrid w:val="0"/>
              <w:jc w:val="right"/>
            </w:pPr>
            <w:r>
              <w:rPr>
                <w:rFonts w:ascii="宋体" w:hAnsi="宋体" w:eastAsia="宋体" w:cs="宋体"/>
                <w:b w:val="0"/>
                <w:i w:val="0"/>
                <w:color w:val="000000"/>
                <w:sz w:val="14"/>
              </w:rPr>
              <w:t>56,043.67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76,560.00</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pPr>
              <w:snapToGrid w:val="0"/>
              <w:jc w:val="right"/>
            </w:pPr>
            <w:r>
              <w:rPr>
                <w:rFonts w:ascii="宋体" w:hAnsi="宋体" w:eastAsia="宋体" w:cs="宋体"/>
                <w:b w:val="0"/>
                <w:i w:val="0"/>
                <w:color w:val="000000"/>
                <w:sz w:val="14"/>
              </w:rPr>
              <w:t>10.00</w:t>
            </w: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489,180.00</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pPr>
              <w:snapToGrid w:val="0"/>
              <w:jc w:val="right"/>
            </w:pPr>
            <w:r>
              <w:rPr>
                <w:rFonts w:ascii="宋体" w:hAnsi="宋体" w:eastAsia="宋体" w:cs="宋体"/>
                <w:b w:val="0"/>
                <w:i w:val="0"/>
                <w:color w:val="000000"/>
                <w:sz w:val="14"/>
              </w:rPr>
              <w:t>33,500.00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121,956.48</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149,680.12</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60,978.24</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pPr>
              <w:snapToGrid w:val="0"/>
              <w:jc w:val="right"/>
            </w:pPr>
            <w:r>
              <w:rPr>
                <w:rFonts w:ascii="宋体" w:hAnsi="宋体" w:eastAsia="宋体" w:cs="宋体"/>
                <w:b w:val="0"/>
                <w:i w:val="0"/>
                <w:color w:val="000000"/>
                <w:sz w:val="14"/>
              </w:rPr>
              <w:t>17,127.00</w:t>
            </w: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76,223.16</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pPr>
              <w:snapToGrid w:val="0"/>
              <w:jc w:val="right"/>
            </w:pPr>
            <w:r>
              <w:rPr>
                <w:rFonts w:ascii="宋体" w:hAnsi="宋体" w:eastAsia="宋体" w:cs="宋体"/>
                <w:b w:val="0"/>
                <w:i w:val="0"/>
                <w:color w:val="000000"/>
                <w:sz w:val="14"/>
              </w:rPr>
              <w:t>1,000,729.00</w:t>
            </w: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15,976.30</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366,990.00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pPr>
              <w:snapToGrid w:val="0"/>
              <w:jc w:val="right"/>
            </w:pPr>
            <w:r>
              <w:rPr>
                <w:rFonts w:ascii="宋体" w:hAnsi="宋体" w:eastAsia="宋体" w:cs="宋体"/>
                <w:b w:val="0"/>
                <w:i w:val="0"/>
                <w:color w:val="000000"/>
                <w:sz w:val="14"/>
              </w:rPr>
              <w:t>6,520.00</w:t>
            </w: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31,294.00</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pPr>
              <w:snapToGrid w:val="0"/>
              <w:jc w:val="right"/>
            </w:pPr>
            <w:r>
              <w:rPr>
                <w:rFonts w:ascii="宋体" w:hAnsi="宋体" w:eastAsia="宋体" w:cs="宋体"/>
                <w:b w:val="0"/>
                <w:i w:val="0"/>
                <w:color w:val="000000"/>
                <w:sz w:val="14"/>
              </w:rPr>
              <w:t>1,397,946.39</w:t>
            </w: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2,100.00</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pPr>
              <w:snapToGrid w:val="0"/>
              <w:jc w:val="right"/>
            </w:pPr>
            <w:r>
              <w:rPr>
                <w:rFonts w:ascii="宋体" w:hAnsi="宋体" w:eastAsia="宋体" w:cs="宋体"/>
                <w:b w:val="0"/>
                <w:i w:val="0"/>
                <w:color w:val="000000"/>
                <w:sz w:val="14"/>
              </w:rPr>
              <w:t>4,600.00</w:t>
            </w: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pPr>
              <w:snapToGrid w:val="0"/>
              <w:jc w:val="right"/>
            </w:pPr>
            <w:r>
              <w:rPr>
                <w:rFonts w:ascii="宋体" w:hAnsi="宋体" w:eastAsia="宋体" w:cs="宋体"/>
                <w:b w:val="0"/>
                <w:i w:val="0"/>
                <w:color w:val="000000"/>
                <w:sz w:val="14"/>
              </w:rPr>
              <w:t>22,543.67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pPr>
              <w:snapToGrid w:val="0"/>
              <w:jc w:val="right"/>
            </w:pPr>
            <w:r>
              <w:rPr>
                <w:rFonts w:ascii="宋体" w:hAnsi="宋体" w:eastAsia="宋体" w:cs="宋体"/>
                <w:b w:val="0"/>
                <w:i w:val="0"/>
                <w:color w:val="000000"/>
                <w:sz w:val="14"/>
              </w:rPr>
              <w:t>43,600.00</w:t>
            </w: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pPr>
              <w:snapToGrid w:val="0"/>
              <w:jc w:val="right"/>
            </w:pPr>
            <w:r>
              <w:rPr>
                <w:rFonts w:ascii="宋体" w:hAnsi="宋体" w:eastAsia="宋体" w:cs="宋体"/>
                <w:b w:val="0"/>
                <w:i w:val="0"/>
                <w:color w:val="000000"/>
                <w:sz w:val="14"/>
              </w:rPr>
              <w:t>36,648.00</w:t>
            </w: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pPr>
              <w:snapToGrid w:val="0"/>
              <w:jc w:val="right"/>
            </w:pPr>
            <w:r>
              <w:rPr>
                <w:rFonts w:ascii="宋体" w:hAnsi="宋体" w:eastAsia="宋体" w:cs="宋体"/>
                <w:b w:val="0"/>
                <w:i w:val="0"/>
                <w:color w:val="000000"/>
                <w:sz w:val="14"/>
              </w:rPr>
              <w:t>20,800.00</w:t>
            </w: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pPr>
              <w:snapToGrid w:val="0"/>
              <w:jc w:val="right"/>
            </w:pPr>
            <w:r>
              <w:rPr>
                <w:rFonts w:ascii="宋体" w:hAnsi="宋体" w:eastAsia="宋体" w:cs="宋体"/>
                <w:b w:val="0"/>
                <w:i w:val="0"/>
                <w:color w:val="000000"/>
                <w:sz w:val="14"/>
              </w:rPr>
              <w:t>6,936.25</w:t>
            </w: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snapToGrid w:val="0"/>
              <w:jc w:val="right"/>
            </w:pPr>
            <w:r>
              <w:rPr>
                <w:rFonts w:ascii="宋体" w:hAnsi="宋体" w:eastAsia="宋体" w:cs="宋体"/>
                <w:b w:val="0"/>
                <w:i w:val="0"/>
                <w:color w:val="000000"/>
                <w:sz w:val="14"/>
              </w:rPr>
              <w:t>2,100.00</w:t>
            </w: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snapToGrid w:val="0"/>
              <w:jc w:val="right"/>
            </w:pPr>
            <w:r>
              <w:rPr>
                <w:rFonts w:ascii="宋体" w:hAnsi="宋体" w:eastAsia="宋体" w:cs="宋体"/>
                <w:b w:val="0"/>
                <w:i w:val="0"/>
                <w:color w:val="000000"/>
                <w:sz w:val="14"/>
              </w:rPr>
              <w:t>110,412.26</w:t>
            </w: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3,109,706.07</w:t>
            </w:r>
          </w:p>
        </w:tc>
        <w:tc>
          <w:tcPr>
            <w:tcW w:w="782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1,586,395.97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天津市西青区杨柳青镇第二幼儿园2024年度政府性基金预算财政拨款收入支出决算表为空表。</w:t>
      </w:r>
      <w:bookmarkStart w:id="25" w:name="_Toc1662304910"/>
      <w:bookmarkStart w:id="26" w:name="_Toc1951730910"/>
      <w:bookmarkStart w:id="27" w:name="_Toc1317004554"/>
      <w:bookmarkStart w:id="28" w:name="_Toc816430520"/>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天津市西青区杨柳青镇第二幼儿园2024年国有资本经营预算财政拨款收入支出决算表为空表。</w:t>
      </w:r>
      <w:bookmarkStart w:id="29" w:name="_Toc781589449"/>
      <w:bookmarkStart w:id="30" w:name="_Toc1743858547"/>
      <w:bookmarkStart w:id="31" w:name="_Toc1474728957"/>
      <w:bookmarkStart w:id="32" w:name="_Toc2076180092"/>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662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tc>
        <w:tc>
          <w:tcPr>
            <w:tcW w:w="2200" w:type="dxa"/>
            <w:vAlign w:val="center"/>
          </w:tcPr>
          <w:p/>
        </w:tc>
        <w:tc>
          <w:tcPr>
            <w:tcW w:w="2200" w:type="dxa"/>
            <w:vAlign w:val="center"/>
          </w:tcPr>
          <w:p/>
        </w:tc>
        <w:tc>
          <w:tcPr>
            <w:tcW w:w="2200" w:type="dxa"/>
            <w:vAlign w:val="center"/>
          </w:tcPr>
          <w:p/>
        </w:tc>
        <w:tc>
          <w:tcPr>
            <w:tcW w:w="2220" w:type="dxa"/>
            <w:vAlign w:val="center"/>
          </w:tcPr>
          <w:p/>
        </w:tc>
        <w:tc>
          <w:tcPr>
            <w:tcW w:w="2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天津市西青区杨柳青镇第二幼儿园2024年财政拨款“三公”经费支出决算表为空表。</w:t>
      </w:r>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单位：天津市西青区杨柳青镇第二幼儿园</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项目</w:t>
            </w:r>
          </w:p>
        </w:tc>
        <w:tc>
          <w:tcPr>
            <w:tcW w:w="9058" w:type="dxa"/>
            <w:gridSpan w:val="6"/>
            <w:vAlign w:val="center"/>
          </w:tcPr>
          <w:p>
            <w:pPr>
              <w:snapToGrid w:val="0"/>
              <w:jc w:val="center"/>
            </w:pPr>
            <w:r>
              <w:rPr>
                <w:rFonts w:ascii="宋体" w:hAnsi="宋体" w:eastAsia="宋体" w:cs="宋体"/>
                <w:b w:val="0"/>
                <w:i w:val="0"/>
                <w:color w:val="000000"/>
                <w:sz w:val="18"/>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pPr>
              <w:snapToGrid w:val="0"/>
              <w:jc w:val="center"/>
            </w:pPr>
            <w:r>
              <w:rPr>
                <w:rFonts w:ascii="宋体" w:hAnsi="宋体" w:eastAsia="宋体" w:cs="宋体"/>
                <w:b w:val="0"/>
                <w:i w:val="0"/>
                <w:color w:val="000000"/>
                <w:sz w:val="18"/>
              </w:rPr>
              <w:t>科目编码</w:t>
            </w:r>
          </w:p>
        </w:tc>
        <w:tc>
          <w:tcPr>
            <w:tcW w:w="3340" w:type="dxa"/>
            <w:vMerge w:val="restart"/>
            <w:vAlign w:val="center"/>
          </w:tcPr>
          <w:p>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pPr>
              <w:snapToGrid w:val="0"/>
              <w:jc w:val="center"/>
            </w:pPr>
            <w:r>
              <w:rPr>
                <w:rFonts w:ascii="宋体" w:hAnsi="宋体" w:eastAsia="宋体" w:cs="宋体"/>
                <w:b w:val="0"/>
                <w:i w:val="0"/>
                <w:color w:val="000000"/>
                <w:sz w:val="18"/>
              </w:rPr>
              <w:t>合计</w:t>
            </w:r>
          </w:p>
        </w:tc>
        <w:tc>
          <w:tcPr>
            <w:tcW w:w="1520" w:type="dxa"/>
            <w:vMerge w:val="restart"/>
            <w:vAlign w:val="center"/>
          </w:tcPr>
          <w:p>
            <w:pPr>
              <w:snapToGrid w:val="0"/>
              <w:jc w:val="center"/>
            </w:pPr>
            <w:r>
              <w:rPr>
                <w:rFonts w:ascii="宋体" w:hAnsi="宋体" w:eastAsia="宋体" w:cs="宋体"/>
                <w:b w:val="0"/>
                <w:i w:val="0"/>
                <w:color w:val="000000"/>
                <w:sz w:val="18"/>
              </w:rPr>
              <w:t>一般公共预算</w:t>
            </w:r>
          </w:p>
        </w:tc>
        <w:tc>
          <w:tcPr>
            <w:tcW w:w="1520" w:type="dxa"/>
            <w:vMerge w:val="restart"/>
            <w:vAlign w:val="center"/>
          </w:tcPr>
          <w:p>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pPr>
              <w:snapToGrid w:val="0"/>
              <w:jc w:val="center"/>
            </w:pPr>
            <w:r>
              <w:rPr>
                <w:rFonts w:ascii="宋体" w:hAnsi="宋体" w:eastAsia="宋体" w:cs="宋体"/>
                <w:b w:val="0"/>
                <w:i w:val="0"/>
                <w:color w:val="000000"/>
                <w:sz w:val="18"/>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合计</w:t>
            </w:r>
          </w:p>
        </w:tc>
        <w:tc>
          <w:tcPr>
            <w:tcW w:w="14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w:t>
            </w:r>
          </w:p>
        </w:tc>
        <w:tc>
          <w:tcPr>
            <w:tcW w:w="3340" w:type="dxa"/>
            <w:vAlign w:val="center"/>
          </w:tcPr>
          <w:p>
            <w:pPr>
              <w:snapToGrid w:val="0"/>
              <w:jc w:val="left"/>
            </w:pPr>
            <w:r>
              <w:rPr>
                <w:rFonts w:ascii="宋体" w:hAnsi="宋体" w:eastAsia="宋体" w:cs="宋体"/>
                <w:b w:val="0"/>
                <w:i w:val="0"/>
                <w:color w:val="000000"/>
                <w:sz w:val="18"/>
              </w:rPr>
              <w:t>教育支出</w:t>
            </w:r>
          </w:p>
        </w:tc>
        <w:tc>
          <w:tcPr>
            <w:tcW w:w="14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w:t>
            </w:r>
          </w:p>
        </w:tc>
        <w:tc>
          <w:tcPr>
            <w:tcW w:w="3340" w:type="dxa"/>
            <w:vAlign w:val="center"/>
          </w:tcPr>
          <w:p>
            <w:pPr>
              <w:snapToGrid w:val="0"/>
              <w:jc w:val="left"/>
            </w:pPr>
            <w:r>
              <w:rPr>
                <w:rFonts w:ascii="宋体" w:hAnsi="宋体" w:eastAsia="宋体" w:cs="宋体"/>
                <w:b w:val="0"/>
                <w:i w:val="0"/>
                <w:color w:val="000000"/>
                <w:sz w:val="18"/>
              </w:rPr>
              <w:t>普通教育</w:t>
            </w:r>
          </w:p>
        </w:tc>
        <w:tc>
          <w:tcPr>
            <w:tcW w:w="14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2050201</w:t>
            </w:r>
          </w:p>
        </w:tc>
        <w:tc>
          <w:tcPr>
            <w:tcW w:w="3340" w:type="dxa"/>
            <w:vAlign w:val="center"/>
          </w:tcPr>
          <w:p>
            <w:pPr>
              <w:snapToGrid w:val="0"/>
              <w:jc w:val="left"/>
            </w:pPr>
            <w:r>
              <w:rPr>
                <w:rFonts w:ascii="宋体" w:hAnsi="宋体" w:eastAsia="宋体" w:cs="宋体"/>
                <w:b w:val="0"/>
                <w:i w:val="0"/>
                <w:color w:val="000000"/>
                <w:sz w:val="18"/>
              </w:rPr>
              <w:t>学前教育</w:t>
            </w:r>
          </w:p>
        </w:tc>
        <w:tc>
          <w:tcPr>
            <w:tcW w:w="14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2050201</w:t>
            </w:r>
          </w:p>
        </w:tc>
        <w:tc>
          <w:tcPr>
            <w:tcW w:w="3340" w:type="dxa"/>
            <w:vAlign w:val="center"/>
          </w:tcPr>
          <w:p>
            <w:pPr>
              <w:snapToGrid w:val="0"/>
              <w:jc w:val="left"/>
            </w:pPr>
            <w:r>
              <w:rPr>
                <w:rFonts w:ascii="宋体" w:hAnsi="宋体" w:eastAsia="宋体" w:cs="宋体"/>
                <w:b w:val="0"/>
                <w:i w:val="0"/>
                <w:color w:val="000000"/>
                <w:sz w:val="18"/>
              </w:rPr>
              <w:t>二幼操场施工项目</w:t>
            </w:r>
          </w:p>
        </w:tc>
        <w:tc>
          <w:tcPr>
            <w:tcW w:w="14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pPr>
              <w:snapToGrid w:val="0"/>
              <w:jc w:val="right"/>
            </w:pPr>
            <w:r>
              <w:rPr>
                <w:rFonts w:ascii="宋体" w:hAnsi="宋体" w:eastAsia="宋体" w:cs="宋体"/>
                <w:b w:val="0"/>
                <w:i w:val="0"/>
                <w:color w:val="000000"/>
                <w:sz w:val="18"/>
              </w:rPr>
              <w:t>300,000.00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229642691"/>
      <w:bookmarkStart w:id="39" w:name="_Toc245797798"/>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752851347"/>
      <w:bookmarkStart w:id="43" w:name="_Toc936052668"/>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收入、支出决算总计4,996,102.04元。与2023年度相比，收、支总计各增加911,918.11元，增长22.328%，主要原因是2023年由于疫情原因，开园时间比较短，所需物品等相对较少，2024年正常运行，相对费用较高。</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收入包括：一般公共预算财政拨款收入4,996,102.04元。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支出包括：教育支出4,996,102.04元。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本年收入合计4,996,102.04元，与2023年度相比增加911,918.11元，主要原因是2023年由于疫情原因，开园时间比较短，所需物品等相对较少，2024年正常运行，相对费用较高。其中：一般公共预算财政拨款收入4,996,102.04元，占100.000%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211523560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本年支出合计4,996,102.04元，与2023年度相比增加911,918.11元，主要原因是2023年由于疫情原因，开园时间比较短，所需物品等相对较少，2024年正常运行，相对费用较高。其中：基本支出4,696,102.04元，占93.995%；项目支出300,000.00元，占6.005%。</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入、支出决算总计4,996,102.04元。与2023年度相比，财政拨款收、支总计各增加911,918.11元，增长22.328%，主要原因是</w:t>
      </w:r>
      <w:r>
        <w:rPr>
          <w:rFonts w:hint="eastAsia" w:eastAsia="仿宋_GB2312"/>
          <w:sz w:val="30"/>
          <w:szCs w:val="30"/>
          <w:highlight w:val="none"/>
          <w:u w:val="none"/>
          <w:lang w:val="en-US" w:eastAsia="zh-CN"/>
        </w:rPr>
        <w:br w:type="textWrapping"/>
      </w:r>
      <w:r>
        <w:rPr>
          <w:rFonts w:hint="eastAsia" w:eastAsia="仿宋_GB2312"/>
          <w:sz w:val="30"/>
          <w:szCs w:val="30"/>
          <w:highlight w:val="none"/>
          <w:u w:val="none"/>
          <w:lang w:val="en-US" w:eastAsia="zh-CN"/>
        </w:rPr>
        <w:t>2023年由于疫情原因，开园时间比较短，所需物品等相对较少，2024年正常运行，相对费用较高。</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收入包括：一般公共预算财政拨款4,996,102.04元。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支出包括：教育支出4,996,102.04元。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63136636"/>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部门决算一般公共预算财政拨款支出合计4,996,102.04元，占本年支出合计的100.000%。与2023年度相比，一般公共预算财政拨款支出增加911,918.11元，增长22.328%，主要原因是2023年由于疫情原因，开园时间比较短，所需物品等相对较少，2024年正常运行，相对费用较高。</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2024年度一般公共预算财政拨款支出4,996,102.04元，主要用于以下方面：教育支出（类）支出4,996,102.04元，占100.000%。</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2024年度一般公共预算财政拨款支出年初预算为4,550,293.48元，支出决算为4,996,102.04元，完成年初预算的109.797%。其中：</w:t>
      </w:r>
    </w:p>
    <w:p>
      <w:pPr>
        <w:pageBreakBefore w:val="0"/>
        <w:widowControl w:val="0"/>
        <w:numPr>
          <w:ilvl w:val="0"/>
          <w:numId w:val="1"/>
        </w:numPr>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4,245,839.52元，支出决算为4,996,102.04元，完成年初预算的117.671%，决算数大于预算数的主要原因是：执行过程中社会保障和就业及卫生健康两个科目中相关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138,161.04元，支出决算为0.00元，决算数小于预算数的主要原因是：执行过程中机关事业单位基本养老保险缴费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69,080.64元，支出决算为0.00元，决算数小于预算数的主要原因是：执行过程中机关事业单位基本养老保险缴费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90,668.28元，支出决算为0.00元，决算数小于预算数的主要原因是：执行过程中机关事业单位基本养老保险缴费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6,544.00元，支出决算为0.00元，决算数小于预算数的主要原因是：执行过程中机关事业单位基本养老保险缴费支出调整到教育支出下小学教育支出中。</w:t>
      </w:r>
      <w:bookmarkStart w:id="101" w:name="_GoBack"/>
      <w:bookmarkEnd w:id="101"/>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828187861"/>
      <w:bookmarkStart w:id="63" w:name="_Toc5691722"/>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部门决算一般公共预算财政拨款基本支出合计4,696,102.04元，与2023年度相比增加611,918.11元，主要原因是2023年由于疫情原因，开园时间比较短，所需物品等相对较少，2024年正常运行，相对费用较高。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3,109,706.07元，主要包括基本工资、津贴补贴、奖金、绩效工资、机关事业单位基本养老保险缴费、职业年金缴费、职工基本医疗保险缴费、其他社会保障缴费、住房公积金、医疗费、其他工资福利支出、其他对个人和家庭的补助。</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公用经费1,586,395.97元，主要包括办公费、手续费、电费、邮电费、物业管理费、维修(护)费、培训费、委托业务费、工会经费、福利费、其他交通费用、其他商品和服务支出、专用设备购置、其他资本性支出。</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568131460"/>
      <w:bookmarkStart w:id="67" w:name="_Toc1171491186"/>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天津市西青区杨柳青镇第二幼儿园2024年度无政府性基金预算财政拨款收入、支出和结转结余。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1122287406"/>
      <w:bookmarkStart w:id="71" w:name="_Toc1589960188"/>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天津市西青区杨柳青镇第二幼儿园2024年度无国有资本经营预算财政拨款收入、支出和结转结余。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天津市西青区杨柳青镇第二幼儿园2024年度无机关运行经费。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883535460"/>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第二幼儿园2024年政府采购支出总额1,702,000.00元，其中：政府采购货物支出2,000.00元、政府采购工程支出0.00元、政府采购服务支出1,700,000.00元。授予中小企业合同金额1,702,000.00元，占政府采购支出总额的100.000%，其中：授予小微企业合同金额1,702,000.00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524035793"/>
      <w:bookmarkStart w:id="91" w:name="_Toc1072564870"/>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天津市西青区杨柳青镇第二幼儿园2024年度无国有资产占有使用情况。</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pPr>
        <w:numPr>
          <w:ilvl w:val="0"/>
          <w:numId w:val="0"/>
        </w:numPr>
        <w:ind w:firstLine="600" w:firstLineChars="200"/>
        <w:rPr>
          <w:rFonts w:hint="eastAsia"/>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天津市西青区杨柳青镇第二幼儿园</w:t>
      </w:r>
      <w:r>
        <w:rPr>
          <w:rFonts w:hint="eastAsia" w:eastAsia="仿宋_GB2312"/>
          <w:sz w:val="30"/>
          <w:szCs w:val="30"/>
          <w:highlight w:val="none"/>
          <w:u w:val="none"/>
          <w:lang w:val="en-US" w:eastAsia="zh-CN"/>
        </w:rPr>
        <w:t>已对1个2024年度项目开展绩效自评，涉及金额300,000.00元，</w:t>
      </w:r>
      <w:r>
        <w:rPr>
          <w:rFonts w:hint="eastAsia" w:ascii="仿宋" w:hAnsi="仿宋" w:eastAsia="仿宋"/>
          <w:color w:val="auto"/>
          <w:sz w:val="30"/>
          <w:szCs w:val="24"/>
          <w:lang w:val="en-US"/>
        </w:rPr>
        <w:t>自评结果已随部门决算一并公开。</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pPr>
        <w:ind w:firstLine="600" w:firstLineChars="200"/>
        <w:rPr>
          <w:rFonts w:hint="eastAsia" w:ascii="仿宋" w:hAnsi="仿宋" w:eastAsia="仿宋" w:cs="仿宋"/>
          <w:sz w:val="30"/>
          <w:szCs w:val="24"/>
        </w:rPr>
      </w:pPr>
      <w:r>
        <w:rPr>
          <w:rFonts w:hint="eastAsia" w:eastAsia="仿宋_GB2312"/>
          <w:sz w:val="30"/>
          <w:szCs w:val="30"/>
          <w:highlight w:val="none"/>
          <w:u w:val="none"/>
          <w:lang w:val="en-US" w:eastAsia="zh-CN"/>
        </w:rPr>
        <w:t>2024年度，天津市西青区杨柳青镇第二幼儿园教育、医疗卫生、社会保障和就业、住房保障、涉农补贴等民生支出情况如下：</w:t>
      </w:r>
      <w:bookmarkStart w:id="97" w:name="_Toc282832597"/>
      <w:bookmarkStart w:id="98" w:name="_Toc1582447786"/>
      <w:bookmarkStart w:id="99" w:name="_Toc368130082"/>
      <w:bookmarkStart w:id="100" w:name="_Toc454181491"/>
      <w:r>
        <w:rPr>
          <w:rFonts w:hint="eastAsia" w:eastAsia="仿宋_GB2312"/>
          <w:sz w:val="30"/>
          <w:szCs w:val="30"/>
          <w:highlight w:val="none"/>
          <w:u w:val="none"/>
          <w:lang w:val="en-US" w:eastAsia="zh-CN"/>
        </w:rPr>
        <w:t>2024年对二幼操场施工，保证幼儿户外活动安全，确保幼儿有良好环境进行体质锻炼，改善幼儿园教育教学环境，提高幼儿的身心健康发展水平。2024年度，天津市西青区杨柳青镇第二幼儿园不涉及医疗卫生、社会保障和就业、住房保障、涉农补贴等民生支出情况。</w:t>
      </w: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897CCD"/>
    <w:multiLevelType w:val="singleLevel"/>
    <w:tmpl w:val="B3897CCD"/>
    <w:lvl w:ilvl="0" w:tentative="0">
      <w:start w:val="1"/>
      <w:numFmt w:val="decimal"/>
      <w:lvlText w:val="%1."/>
      <w:lvlJc w:val="left"/>
      <w:pPr>
        <w:tabs>
          <w:tab w:val="left" w:pos="312"/>
        </w:tabs>
      </w:pPr>
    </w:lvl>
  </w:abstractNum>
  <w:abstractNum w:abstractNumId="1">
    <w:nsid w:val="327F3888"/>
    <w:multiLevelType w:val="singleLevel"/>
    <w:tmpl w:val="327F3888"/>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kxMzZlYTMzYjMzNWM2ODEzMWQ1Y2U0OWQ5OTgwZGYifQ=="/>
  </w:docVars>
  <w:rsids>
    <w:rsidRoot w:val="00000000"/>
    <w:rsid w:val="091644AF"/>
    <w:rsid w:val="1FD004F5"/>
    <w:rsid w:val="52DE58D6"/>
    <w:rsid w:val="6D462419"/>
    <w:rsid w:val="7A1C2305"/>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7405</Words>
  <Characters>9533</Characters>
  <Lines>60</Lines>
  <Paragraphs>16</Paragraphs>
  <TotalTime>2</TotalTime>
  <ScaleCrop>false</ScaleCrop>
  <LinksUpToDate>false</LinksUpToDate>
  <CharactersWithSpaces>9799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2025-08-26T06:57:43Z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