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88" w:lineRule="atLeast"/>
        <w:jc w:val="right"/>
        <w:textAlignment w:val="auto"/>
        <w:rPr>
          <w:rFonts w:hint="default" w:ascii="Times New Roman" w:hAnsi="Times New Roman" w:eastAsia="方正仿宋简体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方正仿宋简体" w:cs="Times New Roman"/>
          <w:sz w:val="28"/>
          <w:szCs w:val="28"/>
          <w:highlight w:val="none"/>
        </w:rPr>
        <w:t>西青区杨柳青镇第十</w:t>
      </w:r>
      <w:r>
        <w:rPr>
          <w:rFonts w:hint="default" w:ascii="Times New Roman" w:hAnsi="Times New Roman" w:eastAsia="方正仿宋简体" w:cs="Times New Roman"/>
          <w:sz w:val="28"/>
          <w:szCs w:val="28"/>
          <w:highlight w:val="none"/>
          <w:lang w:eastAsia="zh-CN"/>
        </w:rPr>
        <w:t>九</w:t>
      </w:r>
      <w:r>
        <w:rPr>
          <w:rFonts w:hint="default" w:ascii="Times New Roman" w:hAnsi="Times New Roman" w:eastAsia="方正仿宋简体" w:cs="Times New Roman"/>
          <w:sz w:val="28"/>
          <w:szCs w:val="28"/>
          <w:highlight w:val="none"/>
        </w:rPr>
        <w:t>届</w:t>
      </w:r>
    </w:p>
    <w:p>
      <w:pPr>
        <w:adjustRightInd w:val="0"/>
        <w:snapToGrid w:val="0"/>
        <w:spacing w:line="440" w:lineRule="exact"/>
        <w:jc w:val="right"/>
        <w:rPr>
          <w:rFonts w:hint="eastAsia" w:ascii="方正仿宋简体" w:hAnsi="方正仿宋简体" w:eastAsia="方正仿宋简体" w:cs="方正仿宋简体"/>
          <w:spacing w:val="6"/>
          <w:w w:val="81"/>
          <w:kern w:val="0"/>
          <w:sz w:val="28"/>
          <w:szCs w:val="28"/>
          <w:fitText w:val="3080" w:id="684940327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1"/>
          <w:w w:val="84"/>
          <w:kern w:val="0"/>
          <w:sz w:val="28"/>
          <w:szCs w:val="28"/>
          <w:highlight w:val="none"/>
          <w:fitText w:val="3080" w:id="-8400563"/>
          <w:lang w:val="en-US" w:eastAsia="zh-CN"/>
        </w:rPr>
        <w:t>人大十三次会议文件（十</w:t>
      </w:r>
      <w:r>
        <w:rPr>
          <w:rFonts w:hint="eastAsia" w:ascii="方正仿宋简体" w:hAnsi="方正仿宋简体" w:eastAsia="方正仿宋简体" w:cs="方正仿宋简体"/>
          <w:spacing w:val="1"/>
          <w:w w:val="84"/>
          <w:kern w:val="0"/>
          <w:sz w:val="28"/>
          <w:szCs w:val="28"/>
          <w:highlight w:val="none"/>
          <w:fitText w:val="3080" w:id="-8400563"/>
          <w:lang w:val="en" w:eastAsia="zh-CN"/>
        </w:rPr>
        <w:t>七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pacing w:val="5"/>
          <w:w w:val="84"/>
          <w:kern w:val="0"/>
          <w:sz w:val="28"/>
          <w:szCs w:val="28"/>
          <w:highlight w:val="none"/>
          <w:fitText w:val="3080" w:id="-8400563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88" w:lineRule="atLeast"/>
        <w:ind w:firstLine="880"/>
        <w:jc w:val="center"/>
        <w:textAlignment w:val="auto"/>
        <w:rPr>
          <w:rFonts w:hint="default" w:ascii="Times New Roman" w:hAnsi="Times New Roman" w:eastAsia="黑体" w:cs="Times New Roman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88" w:lineRule="atLeas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Cs/>
          <w:color w:val="000000"/>
          <w:w w:val="98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w w:val="98"/>
          <w:sz w:val="44"/>
          <w:szCs w:val="44"/>
        </w:rPr>
        <w:t>关于杨柳青镇</w:t>
      </w:r>
      <w:r>
        <w:rPr>
          <w:rFonts w:hint="default" w:ascii="Times New Roman" w:hAnsi="Times New Roman" w:eastAsia="方正仿宋简体" w:cs="Times New Roman"/>
          <w:bCs/>
          <w:color w:val="000000"/>
          <w:sz w:val="44"/>
          <w:szCs w:val="44"/>
        </w:rPr>
        <w:t>202</w:t>
      </w:r>
      <w:r>
        <w:rPr>
          <w:rFonts w:hint="default" w:ascii="Times New Roman" w:hAnsi="Times New Roman" w:eastAsia="方正仿宋简体" w:cs="Times New Roman"/>
          <w:bCs/>
          <w:color w:val="000000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color w:val="000000"/>
          <w:w w:val="98"/>
          <w:sz w:val="44"/>
          <w:szCs w:val="44"/>
        </w:rPr>
        <w:t>年财政决算（草案）的报告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8" w:lineRule="atLeast"/>
        <w:ind w:left="0" w:leftChars="0" w:firstLine="0" w:firstLineChars="0"/>
        <w:jc w:val="center"/>
        <w:textAlignment w:val="auto"/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</w:pPr>
      <w:r>
        <w:rPr>
          <w:rFonts w:hint="default" w:ascii="Times New Roman" w:hAnsi="Times New Roman" w:eastAsia="楷体" w:cs="Times New Roman"/>
          <w:sz w:val="34"/>
          <w:szCs w:val="34"/>
          <w:highlight w:val="none"/>
        </w:rPr>
        <w:t>——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  <w:t>202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  <w:lang w:val="en-US" w:eastAsia="zh-CN"/>
        </w:rPr>
        <w:t>5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  <w:t>年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  <w:lang w:val="en-US" w:eastAsia="zh-CN"/>
        </w:rPr>
        <w:t>7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  <w:t>月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  <w:lang w:val="en-US" w:eastAsia="zh-CN"/>
        </w:rPr>
        <w:t>10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  <w:t>日在杨柳青镇第十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  <w:lang w:eastAsia="zh-CN"/>
        </w:rPr>
        <w:t>九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  <w:t>届人民代表大会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8" w:lineRule="atLeast"/>
        <w:ind w:left="0" w:leftChars="0" w:firstLine="0" w:firstLineChars="0"/>
        <w:jc w:val="center"/>
        <w:textAlignment w:val="auto"/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  <w:t>第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  <w:lang w:val="en-US" w:eastAsia="zh-CN"/>
        </w:rPr>
        <w:t>十三</w:t>
      </w:r>
      <w:r>
        <w:rPr>
          <w:rFonts w:hint="default" w:ascii="Times New Roman" w:hAnsi="Times New Roman" w:eastAsia="楷体" w:cs="Times New Roman"/>
          <w:color w:val="auto"/>
          <w:sz w:val="34"/>
          <w:szCs w:val="34"/>
          <w:highlight w:val="none"/>
        </w:rPr>
        <w:t>次会议上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88" w:lineRule="atLeast"/>
        <w:ind w:firstLine="640"/>
        <w:textAlignment w:val="auto"/>
        <w:rPr>
          <w:rFonts w:hint="default" w:ascii="Times New Roman" w:hAnsi="Times New Roman" w:eastAsia="仿宋" w:cs="Times New Roman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left="0" w:leftChars="0" w:right="0" w:rightChars="0" w:firstLine="0" w:firstLineChars="0"/>
        <w:jc w:val="both"/>
        <w:textAlignment w:val="auto"/>
        <w:rPr>
          <w:rFonts w:hint="eastAsia" w:ascii="Times New Roman" w:hAnsi="Times New Roman" w:eastAsia="方正仿宋简体" w:cs="Times New Roman"/>
          <w:sz w:val="34"/>
          <w:szCs w:val="34"/>
        </w:rPr>
      </w:pPr>
      <w:r>
        <w:rPr>
          <w:rFonts w:hint="eastAsia" w:ascii="Times New Roman" w:hAnsi="Times New Roman" w:eastAsia="方正仿宋简体" w:cs="Times New Roman"/>
          <w:sz w:val="34"/>
          <w:szCs w:val="34"/>
        </w:rPr>
        <w:t>各位代表</w:t>
      </w:r>
      <w:r>
        <w:rPr>
          <w:rFonts w:hint="eastAsia" w:eastAsia="方正仿宋简体" w:cs="Times New Roman"/>
          <w:sz w:val="34"/>
          <w:szCs w:val="34"/>
          <w:lang w:eastAsia="zh-CN"/>
        </w:rPr>
        <w:t>，各位列席人员</w:t>
      </w:r>
      <w:r>
        <w:rPr>
          <w:rFonts w:hint="eastAsia" w:ascii="Times New Roman" w:hAnsi="Times New Roman" w:eastAsia="方正仿宋简体" w:cs="Times New Roman"/>
          <w:sz w:val="34"/>
          <w:szCs w:val="3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left="0" w:leftChars="0" w:right="0" w:rightChars="0" w:firstLine="68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4"/>
          <w:szCs w:val="34"/>
        </w:rPr>
      </w:pPr>
      <w:r>
        <w:rPr>
          <w:rFonts w:hint="default" w:ascii="Times New Roman" w:hAnsi="Times New Roman" w:eastAsia="方正仿宋简体" w:cs="Times New Roman"/>
          <w:sz w:val="34"/>
          <w:szCs w:val="34"/>
        </w:rPr>
        <w:t>现将我镇202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4"/>
          <w:szCs w:val="34"/>
        </w:rPr>
        <w:t>年财政决算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"/>
        </w:rPr>
        <w:t>（草案）的报告提请大会</w:t>
      </w:r>
      <w:r>
        <w:rPr>
          <w:rFonts w:hint="eastAsia" w:ascii="Times New Roman" w:hAnsi="Times New Roman" w:eastAsia="方正仿宋简体" w:cs="Times New Roman"/>
          <w:sz w:val="34"/>
          <w:szCs w:val="34"/>
          <w:lang w:val="en" w:eastAsia="zh-CN"/>
        </w:rPr>
        <w:t>审议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"/>
        </w:rPr>
        <w:t>，并请各位代表</w:t>
      </w:r>
      <w:r>
        <w:rPr>
          <w:rFonts w:hint="eastAsia" w:eastAsia="方正仿宋简体" w:cs="Times New Roman"/>
          <w:sz w:val="34"/>
          <w:szCs w:val="34"/>
          <w:lang w:val="en" w:eastAsia="zh-CN"/>
        </w:rPr>
        <w:t>和列席人员</w:t>
      </w:r>
      <w:r>
        <w:rPr>
          <w:rFonts w:hint="default" w:ascii="Times New Roman" w:hAnsi="Times New Roman" w:eastAsia="方正仿宋简体" w:cs="Times New Roman"/>
          <w:sz w:val="34"/>
          <w:szCs w:val="34"/>
          <w:lang w:val="en"/>
        </w:rPr>
        <w:t>提出意见。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黑体简体" w:cs="Times New Roman"/>
          <w:sz w:val="34"/>
          <w:szCs w:val="34"/>
          <w:shd w:val="clear" w:color="auto" w:fill="FFFFFF"/>
        </w:rPr>
      </w:pP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一、202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年一般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lang w:eastAsia="zh-CN"/>
        </w:rPr>
        <w:t>公共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预算收支情况</w:t>
      </w:r>
      <w:r>
        <w:rPr>
          <w:rStyle w:val="11"/>
          <w:rFonts w:hint="default" w:ascii="Times New Roman" w:hAnsi="Times New Roman" w:eastAsia="方正黑体简体" w:cs="Times New Roman"/>
          <w:sz w:val="34"/>
          <w:szCs w:val="34"/>
          <w:shd w:val="clear" w:color="auto" w:fill="FFFFFF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202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年我镇税收分成收入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21196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万元，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非税收入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12908万元，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区级补助收入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114462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万元，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上年结余收入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4320万元，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调入资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金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102466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万元，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动用预算稳定调节基金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1092万元，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全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镇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一般公共预算总财力为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256444万元。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减去上解区级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支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出3516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万元，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全镇一般公共预算可支配财力为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252928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万元。全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镇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一般公共预算支出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252928万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元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，财力与支出相抵，收支平衡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各款项支出明细如下：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1.一般公共服务支出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4340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2.公共安全支出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236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3.教育支出1462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  <w:t>科学技术支出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12万元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.文化旅游体育与传媒支出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12644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.社会保障和就业支出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7478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.卫生健康支出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3591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8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.节能环保支出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1011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9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.城乡社区支出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195381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.农林水支出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4347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1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.资源勘探工业信息等支出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5854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12.住房保障支出607万元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1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.灾害防治及应急管理支出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2803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</w:pP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二、202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年一般财政预算资金执行重点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今年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以来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，我镇在财力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持续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紧张的情况下，继续厉行勤俭节约，重点保障刚性支出、急需支出，从严控制一般性支出，强化“三公”经费预算管理，努力降低行政运行成本。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重点支出情况如下：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1.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优先保障教育事业投入，促进优质均衡发展</w:t>
      </w:r>
    </w:p>
    <w:p>
      <w:pPr>
        <w:keepNext w:val="0"/>
        <w:keepLines w:val="0"/>
        <w:pageBreakBefore w:val="0"/>
        <w:widowControl w:val="0"/>
        <w:tabs>
          <w:tab w:val="left" w:pos="861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88" w:lineRule="atLeast"/>
        <w:ind w:left="0" w:leftChars="0" w:right="0" w:rightChars="0" w:firstLine="6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全年投入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1462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保障镇内小学及幼儿园教师待遇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及正常运行，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杨柳青镇第四幼儿园投入使用，新增学前公办学位270个，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解决我镇幼儿园学位不足问题。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大力推进教育基础设施建设，杨柳青镇第二小学门窗改造、杨柳青镇中心幼儿园操场塑胶地面翻新改造如期完成，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</w:rPr>
        <w:t>保障生均经费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达到区级标准，落实代课教师补贴，确保按时足额发放到位。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2.完善社会保障体系，兜牢民生底线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全年投入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7478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。聚焦困难群体救助、养老服务、就业扶持等关键领域，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切实改善我镇困难群众及优抚对象生活条件，帮扶困难残疾人，妥善安置退役军人，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4"/>
          <w:szCs w:val="34"/>
          <w:highlight w:val="none"/>
          <w:lang w:val="en-US" w:eastAsia="zh-CN"/>
        </w:rPr>
        <w:t>组织线上线下招聘会，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val="en-US" w:eastAsia="zh-CN"/>
        </w:rPr>
        <w:t>开展再就业技能培训，美庭苑社区日间照料中心投入运营，老年人食堂实现镇域全覆盖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。保障社区办公经费拨付，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提升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社区服务工作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效率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，提高社区居民生活满意度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。按时发放镇办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企业遗留人员保险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退养补助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，提高退养人员生活质量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落实计划生育政策、医疗保险补助及大病扶贫，解决失独家庭、因病致贫群众的后顾之忧。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3.优化城乡社区环境，推动宜居城市建设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atLeast"/>
        <w:ind w:right="0" w:rightChars="0" w:firstLine="68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全年投入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195381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。保障杨柳青镇示范小城镇农民安置用房建设项目资金按时拨付，推动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val="en-US" w:eastAsia="zh-CN"/>
        </w:rPr>
        <w:t>城中村改造工程顺利进行。杨柳青镇养老院建设完成，养老服务体系逐渐健全。深入开展环境卫生综合治理，道路保洁</w:t>
      </w:r>
      <w:r>
        <w:rPr>
          <w:rFonts w:hint="default" w:eastAsia="方正仿宋简体" w:cs="Times New Roman"/>
          <w:color w:val="auto"/>
          <w:sz w:val="34"/>
          <w:szCs w:val="34"/>
          <w:highlight w:val="none"/>
          <w:lang w:val="en" w:eastAsia="zh-CN"/>
        </w:rPr>
        <w:t>，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val="en-US" w:eastAsia="zh-CN"/>
        </w:rPr>
        <w:t>提升居民出行舒适度，生活垃圾全链条管理，全镇公厕实现规范管理，对污水处理、违法建设、户外广告、违规经营等问题持续攻坚，多措并举开展市容市貌整治，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使镇域内环境面貌得到较大改善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4.加大支农扶贫力度，助力乡村振兴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全年投入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  <w:highlight w:val="none"/>
          <w:lang w:val="en-US" w:eastAsia="zh-CN"/>
        </w:rPr>
        <w:t>4347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。统筹财政资金支持农业基础设施建设、灾后恢复生产和农村人居环境整治。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</w:rPr>
        <w:t>启动实施杨柳青镇水利工程设施重建项目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4"/>
          <w:szCs w:val="34"/>
          <w:highlight w:val="none"/>
          <w:lang w:val="en-US" w:eastAsia="zh-CN"/>
        </w:rPr>
        <w:t>抓好东淀蓄滞洪区灾后重建恢复生产工作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val="en-US" w:eastAsia="zh-CN"/>
        </w:rPr>
        <w:t>，严格落实“河湖长”责任制，开展“春季清河专项行动”“健康大运河专项行动”，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切实改善农村人居环境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加强对村委会及村级经济体的补助扶持力度，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eastAsia="zh-CN"/>
        </w:rPr>
        <w:t>有效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</w:rPr>
        <w:t>储备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eastAsia="zh-CN"/>
        </w:rPr>
        <w:t>村居干部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</w:rPr>
        <w:t>后备力量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eastAsia="zh-CN"/>
        </w:rPr>
        <w:t>，在基层治理上持续</w:t>
      </w:r>
      <w:r>
        <w:rPr>
          <w:rFonts w:hint="default" w:ascii="Times New Roman" w:hAnsi="Times New Roman" w:eastAsia="方正仿宋简体" w:cs="Times New Roman"/>
          <w:color w:val="auto"/>
          <w:sz w:val="34"/>
          <w:szCs w:val="34"/>
          <w:highlight w:val="none"/>
          <w:lang w:val="en-US" w:eastAsia="zh-CN"/>
        </w:rPr>
        <w:t>用力。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及时拨付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自然灾害救灾资金，全面提升防汛减灾水平和抢险救援能力，确保人民群众生命财产安全。向对口扶贫地区进行支援，有效帮助对口地区脱贫致富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. 严控政府债务风险，确保财政可持续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全年投入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5854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用于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支付各项债券利息，保障债券项目建设顺利开展，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避免产生债务风险。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同时严格执行政府债务限额管理，规范举债融资行为，严禁违规新增隐性债务，优化债务结构，合理安排偿债资金，防范化解财政运行风险，确保财政可持续发展。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黑体简体" w:cs="Times New Roman"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highlight w:val="none"/>
        </w:rPr>
        <w:t>三、20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highlight w:val="none"/>
          <w:lang w:val="en-US" w:eastAsia="zh-CN"/>
        </w:rPr>
        <w:t>24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highlight w:val="none"/>
        </w:rPr>
        <w:t>年政府性基金预算收支情况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202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年我镇政府性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基金预算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收入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16778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上年结余收入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6871万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全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政府性基金预算可支配财力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为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23649万元。2024年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政府性基金预算支出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20219万元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，财力与支出相抵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政府性基金预算年终结余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3430万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全镇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政府性基金预算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支出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主要用于示范镇建设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4830万元，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归还债券利息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6644万元，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白滩寺乡村振兴示范村项目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2070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万元，大柳滩村乡村振兴风貌提升工程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367万元，拨付综合便民服务中心6195万元和农村生活污水处理设施运行维护78万</w:t>
      </w:r>
      <w:r>
        <w:rPr>
          <w:rFonts w:hint="eastAsia" w:eastAsia="方正仿宋简体" w:cs="Times New Roman"/>
          <w:color w:val="000000"/>
          <w:sz w:val="34"/>
          <w:szCs w:val="34"/>
          <w:highlight w:val="none"/>
          <w:lang w:val="en-US" w:eastAsia="zh-CN"/>
        </w:rPr>
        <w:t>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等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。今年，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我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将继续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争取债券资金，弥补当前建设资金不足的问题，保障重点建设项目顺利进行。</w:t>
      </w:r>
      <w:r>
        <w:rPr>
          <w:rFonts w:hint="default" w:ascii="Times New Roman" w:hAnsi="Times New Roman" w:eastAsia="方正仿宋简体" w:cs="Times New Roman"/>
          <w:bCs/>
          <w:color w:val="000000"/>
          <w:sz w:val="34"/>
          <w:szCs w:val="3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</w:pP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lang w:eastAsia="zh-CN"/>
        </w:rPr>
        <w:t>四、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202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年国有资本经营预算收支情况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202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年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杨柳青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镇国有资本经营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预算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收入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47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上年结余收入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32万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全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国有资本经营预算可支配财力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为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79万元。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全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国有资本经营预算支出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32万元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，财力与支出相抵，全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  <w:t>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国有资本经营预算年终结余为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47万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</w:pP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lang w:eastAsia="zh-CN"/>
        </w:rPr>
        <w:t>五、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202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方正黑体简体" w:cs="Times New Roman"/>
          <w:color w:val="000000"/>
          <w:sz w:val="34"/>
          <w:szCs w:val="34"/>
        </w:rPr>
        <w:t>年财政拨款安排的“三公”经费支出决算情况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atLeast"/>
        <w:ind w:right="0" w:rightChars="0" w:firstLine="68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202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年财政拨款安排的“三公”经费支出决算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0.48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万元，其中：因公出国（境）费0万元，公务用车购置费0万元，公务用车运行维护费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0.48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万元，公务接待费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  <w:lang w:val="en-US" w:eastAsia="zh-CN"/>
        </w:rPr>
        <w:t>0</w:t>
      </w:r>
      <w:r>
        <w:rPr>
          <w:rFonts w:hint="default" w:ascii="Times New Roman" w:hAnsi="Times New Roman" w:eastAsia="方正仿宋简体" w:cs="Times New Roman"/>
          <w:color w:val="000000"/>
          <w:sz w:val="34"/>
          <w:szCs w:val="34"/>
          <w:highlight w:val="none"/>
        </w:rPr>
        <w:t>万元。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2041" w:right="1559" w:bottom="1701" w:left="1559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方正仿宋_GBK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MmUyNGYxNThmOWVkNWI5YmUwZTcwYzlhM2ExZmMifQ=="/>
  </w:docVars>
  <w:rsids>
    <w:rsidRoot w:val="007F044E"/>
    <w:rsid w:val="000D5C88"/>
    <w:rsid w:val="0042347D"/>
    <w:rsid w:val="004363BC"/>
    <w:rsid w:val="0051067C"/>
    <w:rsid w:val="00576889"/>
    <w:rsid w:val="005B3FE9"/>
    <w:rsid w:val="007B4C79"/>
    <w:rsid w:val="007F044E"/>
    <w:rsid w:val="00857F8C"/>
    <w:rsid w:val="008B778F"/>
    <w:rsid w:val="00F57D1E"/>
    <w:rsid w:val="00FB1F8E"/>
    <w:rsid w:val="02F70D3E"/>
    <w:rsid w:val="03BB17E3"/>
    <w:rsid w:val="049031D6"/>
    <w:rsid w:val="050C0ECC"/>
    <w:rsid w:val="05922351"/>
    <w:rsid w:val="06CB509E"/>
    <w:rsid w:val="07014C76"/>
    <w:rsid w:val="0850164A"/>
    <w:rsid w:val="09257910"/>
    <w:rsid w:val="09461CD4"/>
    <w:rsid w:val="09FA45C2"/>
    <w:rsid w:val="0A611896"/>
    <w:rsid w:val="0A9A7472"/>
    <w:rsid w:val="0B76502B"/>
    <w:rsid w:val="0D3A6AC1"/>
    <w:rsid w:val="0E8100DC"/>
    <w:rsid w:val="0EB3783A"/>
    <w:rsid w:val="0F355602"/>
    <w:rsid w:val="0FED4DB0"/>
    <w:rsid w:val="10833B67"/>
    <w:rsid w:val="1197736A"/>
    <w:rsid w:val="127F50E9"/>
    <w:rsid w:val="14347C33"/>
    <w:rsid w:val="159C0DCA"/>
    <w:rsid w:val="19AF75AE"/>
    <w:rsid w:val="1B6202FA"/>
    <w:rsid w:val="1C232937"/>
    <w:rsid w:val="1C2E0ADE"/>
    <w:rsid w:val="1C9E2280"/>
    <w:rsid w:val="1CCC78CC"/>
    <w:rsid w:val="1D56364B"/>
    <w:rsid w:val="1E034014"/>
    <w:rsid w:val="1E5D6D5E"/>
    <w:rsid w:val="1EDA4D58"/>
    <w:rsid w:val="1F423B59"/>
    <w:rsid w:val="1F4315DA"/>
    <w:rsid w:val="20051698"/>
    <w:rsid w:val="203574D2"/>
    <w:rsid w:val="2039362C"/>
    <w:rsid w:val="20FD2609"/>
    <w:rsid w:val="21540FBA"/>
    <w:rsid w:val="21761223"/>
    <w:rsid w:val="21DF4421"/>
    <w:rsid w:val="22055993"/>
    <w:rsid w:val="241308D1"/>
    <w:rsid w:val="243200EE"/>
    <w:rsid w:val="248E2A06"/>
    <w:rsid w:val="24D221F6"/>
    <w:rsid w:val="25057BAE"/>
    <w:rsid w:val="261A53AA"/>
    <w:rsid w:val="26665E8F"/>
    <w:rsid w:val="26785DA9"/>
    <w:rsid w:val="27B60CB4"/>
    <w:rsid w:val="281D775F"/>
    <w:rsid w:val="28390CE1"/>
    <w:rsid w:val="29EC66D5"/>
    <w:rsid w:val="29F65B41"/>
    <w:rsid w:val="2AF666D8"/>
    <w:rsid w:val="2BBDFFE5"/>
    <w:rsid w:val="2BD63C77"/>
    <w:rsid w:val="2BE07E0A"/>
    <w:rsid w:val="2D6E2A94"/>
    <w:rsid w:val="2D7A3A3A"/>
    <w:rsid w:val="2DAE12FF"/>
    <w:rsid w:val="2EFDBF48"/>
    <w:rsid w:val="304D2ECC"/>
    <w:rsid w:val="310A2931"/>
    <w:rsid w:val="31F92B93"/>
    <w:rsid w:val="3279475B"/>
    <w:rsid w:val="337F1A8A"/>
    <w:rsid w:val="34066A02"/>
    <w:rsid w:val="3624379C"/>
    <w:rsid w:val="370C0184"/>
    <w:rsid w:val="377E4518"/>
    <w:rsid w:val="37A061F9"/>
    <w:rsid w:val="38785A35"/>
    <w:rsid w:val="38B67A98"/>
    <w:rsid w:val="3992139A"/>
    <w:rsid w:val="3A781C9A"/>
    <w:rsid w:val="3B3F16C0"/>
    <w:rsid w:val="3C0D3013"/>
    <w:rsid w:val="3C0E6896"/>
    <w:rsid w:val="3C120E6A"/>
    <w:rsid w:val="3C167ABE"/>
    <w:rsid w:val="3DE06791"/>
    <w:rsid w:val="3DF144AD"/>
    <w:rsid w:val="3E457611"/>
    <w:rsid w:val="3EAC0934"/>
    <w:rsid w:val="3EB65804"/>
    <w:rsid w:val="3FF53C7D"/>
    <w:rsid w:val="41361594"/>
    <w:rsid w:val="428B5BC4"/>
    <w:rsid w:val="42F8776E"/>
    <w:rsid w:val="43212B30"/>
    <w:rsid w:val="434F1C1B"/>
    <w:rsid w:val="43B4696F"/>
    <w:rsid w:val="43F03B2E"/>
    <w:rsid w:val="445A39B6"/>
    <w:rsid w:val="448E07FB"/>
    <w:rsid w:val="44923C8C"/>
    <w:rsid w:val="44A57553"/>
    <w:rsid w:val="44E55C94"/>
    <w:rsid w:val="46DE3DA2"/>
    <w:rsid w:val="481366AF"/>
    <w:rsid w:val="484A762B"/>
    <w:rsid w:val="48D86E8E"/>
    <w:rsid w:val="4B1A6144"/>
    <w:rsid w:val="4B565FA9"/>
    <w:rsid w:val="4C405F26"/>
    <w:rsid w:val="4C5B2F8D"/>
    <w:rsid w:val="4E2D02ED"/>
    <w:rsid w:val="4F552872"/>
    <w:rsid w:val="4F6B5159"/>
    <w:rsid w:val="500102F6"/>
    <w:rsid w:val="50141A4B"/>
    <w:rsid w:val="51B727A0"/>
    <w:rsid w:val="51F93209"/>
    <w:rsid w:val="52493074"/>
    <w:rsid w:val="526563EA"/>
    <w:rsid w:val="5335518F"/>
    <w:rsid w:val="537539FA"/>
    <w:rsid w:val="53CF7776"/>
    <w:rsid w:val="564E66A6"/>
    <w:rsid w:val="565E2B72"/>
    <w:rsid w:val="58087383"/>
    <w:rsid w:val="58516372"/>
    <w:rsid w:val="59687BBD"/>
    <w:rsid w:val="5A2F4103"/>
    <w:rsid w:val="5A9418A9"/>
    <w:rsid w:val="5ADC3AF8"/>
    <w:rsid w:val="5D5A3336"/>
    <w:rsid w:val="5E1E5EED"/>
    <w:rsid w:val="5FE014AA"/>
    <w:rsid w:val="6013108D"/>
    <w:rsid w:val="60F63B21"/>
    <w:rsid w:val="61514B4F"/>
    <w:rsid w:val="63A16F83"/>
    <w:rsid w:val="63E059F9"/>
    <w:rsid w:val="65E25469"/>
    <w:rsid w:val="66465E32"/>
    <w:rsid w:val="6781115C"/>
    <w:rsid w:val="6868145A"/>
    <w:rsid w:val="68C11AE9"/>
    <w:rsid w:val="68E11F6E"/>
    <w:rsid w:val="69381C7D"/>
    <w:rsid w:val="697E571F"/>
    <w:rsid w:val="69AF5EEE"/>
    <w:rsid w:val="6AEC1179"/>
    <w:rsid w:val="6D570F2E"/>
    <w:rsid w:val="6E351ABD"/>
    <w:rsid w:val="6E9B6407"/>
    <w:rsid w:val="6F324A06"/>
    <w:rsid w:val="712215CC"/>
    <w:rsid w:val="712651F3"/>
    <w:rsid w:val="71860FCD"/>
    <w:rsid w:val="72216C4D"/>
    <w:rsid w:val="733A0869"/>
    <w:rsid w:val="73A43546"/>
    <w:rsid w:val="73DB55DA"/>
    <w:rsid w:val="756F7041"/>
    <w:rsid w:val="75B620BE"/>
    <w:rsid w:val="77814BC8"/>
    <w:rsid w:val="77BF8124"/>
    <w:rsid w:val="78656092"/>
    <w:rsid w:val="797FEFC8"/>
    <w:rsid w:val="79C730C9"/>
    <w:rsid w:val="7ADB4CD5"/>
    <w:rsid w:val="7B1838A2"/>
    <w:rsid w:val="7B7B8685"/>
    <w:rsid w:val="7C1235B7"/>
    <w:rsid w:val="7E6B59F3"/>
    <w:rsid w:val="7F7F1F52"/>
    <w:rsid w:val="AEFFD85D"/>
    <w:rsid w:val="BF7FF85B"/>
    <w:rsid w:val="DFDCB112"/>
    <w:rsid w:val="EC37E043"/>
    <w:rsid w:val="FBFB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uppressLineNumbers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Calibri" w:hAnsi="Calibri" w:eastAsia="宋体" w:cs="Times New Roman"/>
      <w:b/>
      <w:kern w:val="2"/>
      <w:sz w:val="32"/>
      <w:szCs w:val="32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rPr>
      <w:rFonts w:eastAsia="文星仿宋"/>
      <w:sz w:val="32"/>
    </w:r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line="240" w:lineRule="auto"/>
      <w:jc w:val="center"/>
      <w:outlineLvl w:val="0"/>
    </w:pPr>
    <w:rPr>
      <w:rFonts w:ascii="Arial" w:hAnsi="Arial" w:eastAsia="宋体" w:cs="Times New Roman"/>
      <w:b/>
      <w:sz w:val="32"/>
      <w:szCs w:val="24"/>
    </w:r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apple-converted-space"/>
    <w:basedOn w:val="9"/>
    <w:qFormat/>
    <w:uiPriority w:val="0"/>
  </w:style>
  <w:style w:type="character" w:customStyle="1" w:styleId="12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1971</Words>
  <Characters>2184</Characters>
  <Lines>9</Lines>
  <Paragraphs>2</Paragraphs>
  <TotalTime>4</TotalTime>
  <ScaleCrop>false</ScaleCrop>
  <LinksUpToDate>false</LinksUpToDate>
  <CharactersWithSpaces>2187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2023-07-28T20:13:00Z</dcterms:created>
  <dc:creator>USER-</dc:creator>
  <cp:lastModifiedBy>greatwall</cp:lastModifiedBy>
  <cp:lastPrinted>2025-07-09T17:07:04Z</cp:lastPrinted>
  <dcterms:modified xsi:type="dcterms:W3CDTF">2025-07-09T17:07:07Z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FF1E0696B6D94CCC90B255215D8C3B05_13</vt:lpwstr>
  </property>
  <property fmtid="{D5CDD505-2E9C-101B-9397-08002B2CF9AE}" pid="4" name="KSOTemplateDocerSaveRecord">
    <vt:lpwstr>eyJoZGlkIjoiMWZjYWYzZjA3NDAzODgxNWMyOTFjNDg0MzZlMmQ2MGMifQ==</vt:lpwstr>
  </property>
</Properties>
</file>