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天津市西青区中北第二小学</w:t>
      </w:r>
    </w:p>
    <w:p>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580" w:lineRule="exact"/>
        <w:jc w:val="both"/>
        <w:rPr>
          <w:rFonts w:hint="eastAsia" w:ascii="黑体" w:eastAsia="黑体"/>
          <w:sz w:val="30"/>
          <w:szCs w:val="30"/>
          <w:highlight w:val="none"/>
          <w:u w:val="none"/>
          <w:lang w:val="en-US" w:eastAsia="zh-CN"/>
        </w:rPr>
      </w:pPr>
    </w:p>
    <w:p>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5" w:type="first"/>
          <w:headerReference r:id="rId3" w:type="default"/>
          <w:headerReference r:id="rId4" w:type="even"/>
          <w:pgSz w:w="11906" w:h="16838"/>
          <w:pgMar w:top="1440" w:right="1800" w:bottom="1440" w:left="1800" w:header="851" w:footer="992" w:gutter="0"/>
          <w:pgNumType w:fmt="decimal" w:start="1"/>
          <w:cols w:space="720" w:num="1"/>
          <w:docGrid w:type="lines" w:linePitch="312" w:charSpace="0"/>
        </w:sectPr>
      </w:pPr>
    </w:p>
    <w:p>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pPr>
        <w:pStyle w:val="25"/>
        <w:pageBreakBefore w:val="0"/>
        <w:tabs>
          <w:tab w:val="right" w:leader="dot" w:pos="8306"/>
        </w:tabs>
        <w:kinsoku/>
        <w:wordWrap/>
        <w:overflowPunct/>
        <w:topLinePunct w:val="0"/>
        <w:autoSpaceDE/>
        <w:autoSpaceDN/>
        <w:bidi w:val="0"/>
        <w:jc w:val="both"/>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pPr>
        <w:pStyle w:val="25"/>
        <w:pageBreakBefore w:val="0"/>
        <w:tabs>
          <w:tab w:val="right" w:leader="dot" w:pos="8306"/>
        </w:tabs>
        <w:kinsoku/>
        <w:wordWrap/>
        <w:overflowPunct/>
        <w:topLinePunct w:val="0"/>
        <w:autoSpaceDE/>
        <w:autoSpaceDN/>
        <w:bidi w:val="0"/>
        <w:jc w:val="both"/>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pPr>
        <w:pStyle w:val="25"/>
        <w:pageBreakBefore w:val="0"/>
        <w:tabs>
          <w:tab w:val="right" w:leader="dot" w:pos="8306"/>
        </w:tabs>
        <w:kinsoku/>
        <w:wordWrap/>
        <w:overflowPunct/>
        <w:topLinePunct w:val="0"/>
        <w:autoSpaceDE/>
        <w:autoSpaceDN/>
        <w:bidi w:val="0"/>
        <w:jc w:val="both"/>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pPr>
        <w:pStyle w:val="21"/>
        <w:pageBreakBefore w:val="0"/>
        <w:tabs>
          <w:tab w:val="right" w:leader="dot" w:pos="8306"/>
        </w:tabs>
        <w:kinsoku/>
        <w:wordWrap/>
        <w:overflowPunct/>
        <w:topLinePunct w:val="0"/>
        <w:autoSpaceDE/>
        <w:autoSpaceDN/>
        <w:bidi w:val="0"/>
        <w:snapToGrid/>
        <w:spacing w:after="0" w:line="700" w:lineRule="exact"/>
        <w:jc w:val="both"/>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pPr>
        <w:pStyle w:val="25"/>
        <w:pageBreakBefore w:val="0"/>
        <w:tabs>
          <w:tab w:val="right" w:leader="dot" w:pos="8306"/>
        </w:tabs>
        <w:kinsoku/>
        <w:wordWrap/>
        <w:overflowPunct/>
        <w:topLinePunct w:val="0"/>
        <w:autoSpaceDE/>
        <w:autoSpaceDN/>
        <w:bidi w:val="0"/>
        <w:jc w:val="both"/>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both"/>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both"/>
        <w:textAlignment w:val="baseline"/>
        <w:rPr>
          <w:rFonts w:ascii="Times New Roman" w:hAnsi="Times New Roman" w:eastAsia="仿宋" w:cs="Times New Roman"/>
          <w:b/>
          <w:bCs w:val="0"/>
          <w:szCs w:val="32"/>
          <w:lang w:val="en-US" w:eastAsia="zh-CN"/>
        </w:rPr>
      </w:pPr>
    </w:p>
    <w:p>
      <w:pPr>
        <w:keepNext w:val="0"/>
        <w:keepLines w:val="0"/>
        <w:pageBreakBefore w:val="0"/>
        <w:widowControl w:val="0"/>
        <w:kinsoku/>
        <w:wordWrap/>
        <w:overflowPunct/>
        <w:topLinePunct w:val="0"/>
        <w:autoSpaceDE/>
        <w:autoSpaceDN/>
        <w:bidi w:val="0"/>
        <w:adjustRightInd w:val="0"/>
        <w:snapToGrid/>
        <w:spacing w:line="700" w:lineRule="exact"/>
        <w:jc w:val="both"/>
        <w:textAlignment w:val="baseline"/>
        <w:rPr>
          <w:rFonts w:hint="eastAsia" w:ascii="Times New Roman" w:hAnsi="Times New Roman" w:eastAsia="仿宋" w:cs="Times New Roman"/>
          <w:b w:val="0"/>
          <w:bCs w:val="0"/>
          <w:sz w:val="30"/>
          <w:szCs w:val="32"/>
          <w:lang w:val="en-US" w:eastAsia="zh-CN"/>
        </w:rPr>
      </w:pPr>
    </w:p>
    <w:p>
      <w:pPr>
        <w:pageBreakBefore w:val="0"/>
        <w:kinsoku/>
        <w:wordWrap/>
        <w:overflowPunct/>
        <w:topLinePunct w:val="0"/>
        <w:autoSpaceDE/>
        <w:autoSpaceDN/>
        <w:bidi w:val="0"/>
        <w:snapToGrid/>
        <w:jc w:val="both"/>
        <w:rPr>
          <w:rFonts w:hint="eastAsia"/>
          <w:lang w:val="en-US" w:eastAsia="zh-CN"/>
        </w:rPr>
      </w:pPr>
    </w:p>
    <w:p>
      <w:pPr>
        <w:pageBreakBefore w:val="0"/>
        <w:kinsoku/>
        <w:wordWrap/>
        <w:overflowPunct/>
        <w:topLinePunct w:val="0"/>
        <w:autoSpaceDE/>
        <w:autoSpaceDN/>
        <w:bidi w:val="0"/>
        <w:snapToGrid/>
        <w:jc w:val="both"/>
        <w:rPr>
          <w:rFonts w:hint="eastAsia"/>
          <w:lang w:val="en-US" w:eastAsia="zh-CN"/>
        </w:rPr>
      </w:pPr>
    </w:p>
    <w:p>
      <w:pPr>
        <w:pageBreakBefore w:val="0"/>
        <w:kinsoku/>
        <w:wordWrap/>
        <w:overflowPunct/>
        <w:topLinePunct w:val="0"/>
        <w:autoSpaceDE/>
        <w:autoSpaceDN/>
        <w:bidi w:val="0"/>
        <w:snapToGrid/>
        <w:jc w:val="both"/>
        <w:rPr>
          <w:rFonts w:hint="eastAsia"/>
          <w:lang w:val="en-US" w:eastAsia="zh-CN"/>
        </w:rPr>
        <w:sectPr>
          <w:footerReference r:id="rId6" w:type="default"/>
          <w:pgSz w:w="11906" w:h="16838"/>
          <w:pgMar w:top="1440" w:right="1800" w:bottom="1440" w:left="1800" w:header="851" w:footer="992" w:gutter="0"/>
          <w:pgNumType w:fmt="decimal" w:start="1"/>
          <w:cols w:space="720" w:num="1"/>
          <w:docGrid w:type="lines" w:linePitch="312" w:charSpace="0"/>
        </w:sectPr>
      </w:pPr>
    </w:p>
    <w:p>
      <w:pPr>
        <w:pStyle w:val="5"/>
        <w:pageBreakBefore w:val="0"/>
        <w:kinsoku/>
        <w:wordWrap/>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358716097"/>
      <w:bookmarkStart w:id="1" w:name="_Toc1084941266"/>
      <w:bookmarkStart w:id="2" w:name="_Toc403062085"/>
      <w:bookmarkStart w:id="3" w:name="_Toc1198055373"/>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cs="Times New Roman"/>
          <w:b/>
          <w:bCs/>
          <w:sz w:val="30"/>
          <w:szCs w:val="30"/>
          <w:highlight w:val="none"/>
          <w:u w:val="none"/>
          <w:lang w:val="en-US" w:eastAsia="zh-CN"/>
        </w:rPr>
      </w:pPr>
      <w:bookmarkStart w:id="4" w:name="_Toc1747823728"/>
      <w:bookmarkStart w:id="5" w:name="_Toc324210985"/>
      <w:bookmarkStart w:id="6" w:name="_Toc1101039957"/>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pPr>
        <w:pageBreakBefore w:val="0"/>
        <w:tabs>
          <w:tab w:val="right" w:leader="dot" w:pos="8306"/>
        </w:tabs>
        <w:kinsoku/>
        <w:wordWrap/>
        <w:overflowPunct/>
        <w:topLinePunct w:val="0"/>
        <w:autoSpaceDE/>
        <w:autoSpaceDN/>
        <w:bidi w:val="0"/>
        <w:spacing w:beforeLines="0" w:afterLines="0" w:line="700" w:lineRule="exact"/>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学校党务工作职责：协助上级党委认真贯彻、落实党的路线、方针、政策，抓好政治理论和党章的学习；负责制定党支部计划，做好支部总结工作，负责党内文件的收发、管理；做好经常性的党员发展工作，保证发展党员的质量和结构；负责党员的教育和管理，健全党的组织生活等管理形式，做好党费收缴、党员组织关系接转、党的文件传递、材料的建档、统计等工作。</w:t>
      </w:r>
    </w:p>
    <w:p>
      <w:pPr>
        <w:pageBreakBefore w:val="0"/>
        <w:tabs>
          <w:tab w:val="right" w:leader="dot" w:pos="8306"/>
        </w:tabs>
        <w:kinsoku/>
        <w:wordWrap/>
        <w:overflowPunct/>
        <w:topLinePunct w:val="0"/>
        <w:autoSpaceDE/>
        <w:autoSpaceDN/>
        <w:bidi w:val="0"/>
        <w:spacing w:beforeLines="0" w:afterLines="0" w:line="700" w:lineRule="exact"/>
        <w:ind w:left="220"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校长工作职责：贯彻执行党的教育方针，执行上级党委和政府的政策和法令、上级教育部门的决议；学校工作以教学为中心，向科学管理要质量，向教学科研要质量；把德育工作放在首位，德育工作中把政治思想工作放在首位，不断提高师资队伍素质，有效地贯彻执行德育工作大纲，坚持四项基本原则，运用多种形式教育学生，提高学生学习目的性、积极性和创造性，为全面提高学生素质采取有效措施；协调各部门关系，密切合作，使德、智、体、美、劳和谐发展，认真研究教育、教学管理工作，并提高切实可行的改革措施；领导组织教职工的政治、文化、业务学习和师生的各项活动，有计划地组织教师业务学习与教学研究，重点抓好青年教师培养与骨干教师队伍建设，全面提高教师政治和业务素质；抓好文体卫生工作，提高学生身体素质，保持校舍校容整治，加强校园文化建设，为师生创造良好的工作学习环境；抓好总务工作，节约开支，勤俭办学，维修和更新教学设备；教务处是学校教学常规的管理机构，在校长的领导下，全面组织并落实各项常规教学活动，其职责工作如下；协助校长制订并实施学校的教育教学工作计划，检查并总结学校的教学、教研工作，制定实施教学、教研工作计划和有关规章制度，审查教研组的工作计划和教师的教学计划；全面了解教师的思想状况，业务专长和教学水平，妥善安排教师的教学任务，努力提高他们的思想政治和业务素质，选配教研组长；组织管理教学、教研工作；熟悉新课标的要求，会同教研组长掌握各科教师贯彻执行教学计划的情况，有计划、有目的的参加教研组的备课和教研活动，指导教研组工作，定期召开教研组长会议；通过听课、检查学生作业、分析学生的学习成绩、召开师生座谈会及个别谈话等方式，了解教学情况，帮助教师改进教学方法提高课堂教学质量；会同教研组长组织好各种教研活动，总结经验。配合开展师训工作，以多种形式培养教学骨干，对青年教师做好“传、帮、带”工作，给予教学业务上的具体指导；组织本校课题申报，指导并督促课题组按照阶段性任务安排及时做好研究工作，并按时结题；组织管理好继教、研修、校本课程、课后服务等相关活动。</w:t>
      </w:r>
    </w:p>
    <w:p>
      <w:pPr>
        <w:pageBreakBefore w:val="0"/>
        <w:tabs>
          <w:tab w:val="right" w:leader="dot" w:pos="8306"/>
        </w:tabs>
        <w:kinsoku/>
        <w:wordWrap/>
        <w:overflowPunct/>
        <w:topLinePunct w:val="0"/>
        <w:autoSpaceDE/>
        <w:autoSpaceDN/>
        <w:bidi w:val="0"/>
        <w:spacing w:beforeLines="0" w:afterLines="0" w:line="700" w:lineRule="exact"/>
        <w:ind w:left="300" w:leftChars="125"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学校财务工作职责：协助上级财政认真贯彻、落实财务制度，经费预算、决算，配合会计按指定科目及额度使用；负责公用经费申请计划，按月合理利用；负责日常的绩效工资、统发工资的核发、外聘教师工资核发、原民办教师补贴代发；负责学校代收代缴的收费工作（涉及学生相关内容的代理收费，涉及老师代理收费）；按月缴纳审核职工社会保险保险、公积金、水费、电费、取暖费；负责在职、退休、学生保险理赔相关事宜。</w:t>
      </w:r>
    </w:p>
    <w:p>
      <w:pPr>
        <w:pageBreakBefore w:val="0"/>
        <w:tabs>
          <w:tab w:val="right" w:leader="dot" w:pos="8306"/>
        </w:tabs>
        <w:kinsoku/>
        <w:wordWrap/>
        <w:overflowPunct/>
        <w:topLinePunct w:val="0"/>
        <w:autoSpaceDE/>
        <w:autoSpaceDN/>
        <w:bidi w:val="0"/>
        <w:spacing w:beforeLines="0" w:afterLines="0" w:line="700" w:lineRule="exact"/>
        <w:ind w:firstLine="900" w:firstLineChars="3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总务主任职责：领导和组织总务处全体工作人员进行政治学习。合理组织人力，恰当安排、分配、协调总务人员的工作，充分发挥全处人员的智慧和力量；牢固树立“服务育人”的观念，上对校长负责，下对全校职工负责。领导总务处全体职工完成总务各项工作，并定期向主管校长汇报工作；负责建立和健全总务各部门的制度，明确总务各部门的职责，并检查督促执行。负责有计划提前组织好办公、教学、维修、卫生等各种物品和设备的采购、保管和供给的工作；负责校舍的管理及维修，做好学校财产的登记、添置及保管，并合理分配和使用；配合德育处做好学校安全保卫工作，对重点部门要添置必要的防盗、灭火设备，并定期检查。与办公室一起加强对传达室人员的教育和领导，建立必要的制度。</w:t>
      </w:r>
    </w:p>
    <w:p>
      <w:pPr>
        <w:pageBreakBefore w:val="0"/>
        <w:kinsoku/>
        <w:wordWrap/>
        <w:overflowPunct/>
        <w:topLinePunct w:val="0"/>
        <w:autoSpaceDE/>
        <w:autoSpaceDN/>
        <w:bidi w:val="0"/>
        <w:snapToGrid/>
        <w:spacing w:line="600" w:lineRule="exact"/>
        <w:ind w:firstLine="600" w:firstLineChars="200"/>
        <w:jc w:val="both"/>
        <w:rPr>
          <w:rFonts w:hint="eastAsia" w:ascii="仿宋_GB2312" w:eastAsia="仿宋_GB2312"/>
          <w:sz w:val="30"/>
          <w:szCs w:val="30"/>
          <w:highlight w:val="none"/>
          <w:u w:val="none"/>
          <w:lang w:val="en-US" w:eastAsia="zh-CN"/>
        </w:rPr>
      </w:pPr>
      <w:r>
        <w:rPr>
          <w:rFonts w:hint="eastAsia" w:ascii="仿宋" w:hAnsi="仿宋" w:eastAsia="仿宋" w:cs="仿宋"/>
          <w:sz w:val="30"/>
          <w:szCs w:val="30"/>
          <w:lang w:val="en-US" w:eastAsia="zh-CN"/>
        </w:rPr>
        <w:t>德育处职责：根据学校的工作计划，制定学生爱国教育的工作计划，确定学生思想教工作的内容和重点。同时指定每月、每周学生工作日程，实施全校学生活动计划；制定班主任工作一日常规，领导各年级班主任。组织班主任学习，加强班主任师德建设，提高班主任工作水平，检查和评价班主任工作；做好少先队工作，在学生中开展各项有益于青少年身心健康的活动；制定并执行学校学生行为规范，树立学生正确舆论。树立校级学生先进典型，组织评选各类学生先进集体与先进个人工作。负责做好有严重违纪行为学生的思想教育工作，并向上级提出处理意见；抓好学生一日生活的常规管理，建立并坚持学生自己管理自己的工作体系。抓好各年级、各班的校风、级风、班风建设及检查评比工作；做好学生心理工作，领导学生心理咨询工作小组开展工作。抓好各级学生干部的培训工作，加强干部队伍的思想建设与组织建设；负责学校的体育、美育、劳动教育工作；建立并领导家长委员会，办好家长学校。沟通学校与家长的联系，达成教育共识。听取家长的意见，争取家长的帮助。；关心社区建设，积极组织学生参加社区公益活动；抓好德育研究室的工作。探索新时期学生思教工作的重点与难点，指导并解决学生德育工作的实际问题。体育：我校一直积极响应国家关于青少年体质健康提升的号召与积极贯彻落实西青区教育高质量发展三年行动方案，全面提升我校学生体质健康水平，切实改善学生体质状况，促进了学生身心健康发展，丰富了校园文化生活，提升了学生的体育素养和团队协作能力。卫生：认真落实疫情防控工作主体责任，高度重视暑假前后及暑假期间新冠及其他重点传染病防控工作，不放松、不加码，坚持现有指挥体系常态化运转，强化组织领导和部门间协调，进一步完善学校传染病防控工作制度，加强对留校师生的关心关爱，重点抓好新冠、肠道、蚊媒及动物源性等传染病防控工作，强化风险意识和底线思维，切实提高敏感性、警觉性，最大限度降低疫情传播风险。食堂：食品安全问题日益引起社会各界的广泛关注。尤其是学校食品安全，直接关系到广大师生的身体健康和生命安全，关系到学校正常的教育教学秩序。在当前形势下，加强学校食品安全管理，提高应提高师生的食品安全意识，共同维护校园食品安全。校服：深入贯彻落实校服管理工作要求，不断提升校服管理工作水平你，认真做好校服生产供应企业招标工作不断完善校服管理监督机制，每年定期开展校服专项检查</w:t>
      </w:r>
      <w:r>
        <w:rPr>
          <w:rFonts w:hint="eastAsia" w:ascii="仿宋_GB2312" w:eastAsia="仿宋_GB2312"/>
          <w:sz w:val="30"/>
          <w:szCs w:val="30"/>
          <w:highlight w:val="none"/>
          <w:u w:val="none"/>
          <w:lang w:val="en-US" w:eastAsia="zh-CN"/>
        </w:rPr>
        <w:t>。</w:t>
      </w:r>
    </w:p>
    <w:p>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cs="Times New Roman"/>
          <w:b/>
          <w:bCs/>
          <w:sz w:val="30"/>
          <w:szCs w:val="30"/>
          <w:highlight w:val="none"/>
          <w:u w:val="none"/>
          <w:lang w:val="en-US" w:eastAsia="zh-CN"/>
        </w:rPr>
      </w:pPr>
      <w:bookmarkStart w:id="8" w:name="_Toc1798423086"/>
      <w:bookmarkStart w:id="9" w:name="_Toc244589183"/>
      <w:bookmarkStart w:id="10" w:name="_Toc848012456"/>
      <w:bookmarkStart w:id="11" w:name="_Toc311971100"/>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pPr>
        <w:pageBreakBefore w:val="0"/>
        <w:kinsoku/>
        <w:wordWrap/>
        <w:overflowPunct/>
        <w:topLinePunct w:val="0"/>
        <w:autoSpaceDE/>
        <w:autoSpaceDN/>
        <w:bidi w:val="0"/>
        <w:snapToGrid/>
        <w:spacing w:line="600" w:lineRule="exact"/>
        <w:ind w:firstLine="600" w:firstLineChars="200"/>
        <w:jc w:val="both"/>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天津市西青区中北第二小学内设</w:t>
      </w:r>
      <w:r>
        <w:rPr>
          <w:rFonts w:hint="eastAsia" w:ascii="仿宋" w:hAnsi="仿宋" w:eastAsia="仿宋" w:cs="仿宋"/>
          <w:kern w:val="2"/>
          <w:sz w:val="30"/>
          <w:szCs w:val="24"/>
          <w:lang w:val="en-US" w:eastAsia="zh-CN"/>
        </w:rPr>
        <w:t>7</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；无下辖预算单位。纳入天津市西青区中北第二小学2024年度部门决算编制范围的单位包括：天津市西青区中北第二小学。</w:t>
      </w:r>
    </w:p>
    <w:p>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r>
        <w:br w:type="page"/>
      </w:r>
      <w:bookmarkStart w:id="12" w:name="_Toc1290695373"/>
      <w:bookmarkStart w:id="13" w:name="_Toc264474877"/>
      <w:bookmarkStart w:id="14" w:name="_Toc526698323"/>
    </w:p>
    <w:p>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both"/>
        <w:rPr>
          <w:rFonts w:eastAsia="黑体"/>
          <w:w w:val="95"/>
          <w:sz w:val="44"/>
          <w:szCs w:val="44"/>
          <w:highlight w:val="none"/>
          <w:u w:val="none"/>
          <w:lang w:val="en-US" w:eastAsia="zh-CN"/>
        </w:rPr>
      </w:pPr>
    </w:p>
    <w:p>
      <w:pPr>
        <w:pStyle w:val="5"/>
        <w:pageBreakBefore w:val="0"/>
        <w:kinsoku/>
        <w:wordWrap/>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pPr>
        <w:pageBreakBefore w:val="0"/>
        <w:kinsoku/>
        <w:wordWrap/>
        <w:overflowPunct/>
        <w:topLinePunct w:val="0"/>
        <w:autoSpaceDE/>
        <w:autoSpaceDN/>
        <w:bidi w:val="0"/>
        <w:snapToGrid/>
        <w:spacing w:line="600" w:lineRule="exact"/>
        <w:jc w:val="both"/>
        <w:rPr>
          <w:rFonts w:hint="eastAsia"/>
          <w:highlight w:val="none"/>
          <w:u w:val="none"/>
          <w:lang w:val="en-US" w:eastAsia="zh-CN"/>
        </w:rPr>
      </w:pPr>
    </w:p>
    <w:p>
      <w:pPr>
        <w:pStyle w:val="6"/>
        <w:pageBreakBefore w:val="0"/>
        <w:kinsoku/>
        <w:wordWrap/>
        <w:overflowPunct/>
        <w:topLinePunct w:val="0"/>
        <w:autoSpaceDE/>
        <w:autoSpaceDN/>
        <w:bidi w:val="0"/>
        <w:snapToGrid/>
        <w:spacing w:before="0" w:after="0" w:line="800" w:lineRule="exact"/>
        <w:ind w:firstLine="600" w:firstLineChars="200"/>
        <w:jc w:val="both"/>
        <w:outlineLvl w:val="9"/>
        <w:rPr>
          <w:rFonts w:hint="eastAsia" w:ascii="黑体" w:hAnsi="黑体" w:eastAsia="黑体"/>
          <w:b w:val="0"/>
          <w:sz w:val="30"/>
          <w:szCs w:val="30"/>
          <w:highlight w:val="none"/>
          <w:u w:val="none"/>
          <w:lang w:val="en-US" w:eastAsia="zh-CN"/>
        </w:rPr>
        <w:sectPr>
          <w:footerReference r:id="rId7" w:type="default"/>
          <w:pgSz w:w="11906" w:h="16838"/>
          <w:pgMar w:top="1440" w:right="1800" w:bottom="1440" w:left="1800" w:header="851" w:footer="992" w:gutter="0"/>
          <w:pgNumType w:fmt="decimal" w:start="1"/>
          <w:cols w:space="720" w:num="1"/>
          <w:docGrid w:type="lines" w:linePitch="312" w:charSpace="0"/>
        </w:sectPr>
      </w:pPr>
      <w:bookmarkStart w:id="17" w:name="_Toc1885592096"/>
    </w:p>
    <w:p>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b/>
          <w:bCs/>
          <w:sz w:val="30"/>
          <w:szCs w:val="30"/>
          <w:highlight w:val="none"/>
          <w:u w:val="none"/>
          <w:lang w:val="en-US" w:eastAsia="zh-CN"/>
        </w:rPr>
      </w:pPr>
      <w:bookmarkStart w:id="18" w:name="_Toc88651213"/>
      <w:bookmarkStart w:id="19" w:name="_Toc291121727"/>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pageBreakBefore w:val="0"/>
              <w:kinsoku/>
              <w:wordWrap/>
              <w:overflowPunct/>
              <w:topLinePunct w:val="0"/>
              <w:autoSpaceDE/>
              <w:autoSpaceDN/>
              <w:bidi w:val="0"/>
              <w:jc w:val="both"/>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pageBreakBefore w:val="0"/>
              <w:kinsoku/>
              <w:wordWrap/>
              <w:overflowPunct/>
              <w:topLinePunct w:val="0"/>
              <w:autoSpaceDE/>
              <w:autoSpaceDN/>
              <w:bidi w:val="0"/>
              <w:jc w:val="both"/>
            </w:pPr>
            <w:r>
              <w:rPr>
                <w:rFonts w:ascii="宋体" w:hAnsi="宋体" w:eastAsia="宋体" w:cs="宋体"/>
                <w:sz w:val="20"/>
              </w:rPr>
              <w:t>单位：天津市西青区中北第二小学</w:t>
            </w:r>
          </w:p>
        </w:tc>
        <w:tc>
          <w:tcPr>
            <w:tcW w:w="2000" w:type="dxa"/>
          </w:tcPr>
          <w:p>
            <w:pPr>
              <w:pageBreakBefore w:val="0"/>
              <w:kinsoku/>
              <w:wordWrap/>
              <w:overflowPunct/>
              <w:topLinePunct w:val="0"/>
              <w:autoSpaceDE/>
              <w:autoSpaceDN/>
              <w:bidi w:val="0"/>
              <w:jc w:val="both"/>
            </w:pPr>
          </w:p>
        </w:tc>
        <w:tc>
          <w:tcPr>
            <w:tcW w:w="5619" w:type="dxa"/>
          </w:tcPr>
          <w:p>
            <w:pPr>
              <w:pageBreakBefore w:val="0"/>
              <w:kinsoku/>
              <w:wordWrap/>
              <w:overflowPunct/>
              <w:topLinePunct w:val="0"/>
              <w:autoSpaceDE/>
              <w:autoSpaceDN/>
              <w:bidi w:val="0"/>
              <w:jc w:val="both"/>
            </w:pPr>
            <w:r>
              <w:rPr>
                <w:rFonts w:ascii="宋体" w:hAnsi="宋体" w:eastAsia="宋体" w:cs="宋体"/>
                <w:sz w:val="20"/>
              </w:rPr>
              <w:t>单位：元</w:t>
            </w:r>
          </w:p>
        </w:tc>
      </w:tr>
    </w:tbl>
    <w:p>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662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收入</w:t>
            </w:r>
          </w:p>
        </w:tc>
        <w:tc>
          <w:tcPr>
            <w:tcW w:w="6618"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项    目</w:t>
            </w:r>
          </w:p>
        </w:tc>
        <w:tc>
          <w:tcPr>
            <w:tcW w:w="1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金额</w:t>
            </w: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项    目</w:t>
            </w:r>
          </w:p>
        </w:tc>
        <w:tc>
          <w:tcPr>
            <w:tcW w:w="197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金额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一、一般公共预算财政拨款收入</w:t>
            </w:r>
          </w:p>
        </w:tc>
        <w:tc>
          <w:tcPr>
            <w:tcW w:w="1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37,559,919.40</w:t>
            </w: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一、一般公共服务支出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二、政府性基金预算财政拨款收入</w:t>
            </w: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二、公共安全支出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三、国有资本经营预算财政拨款收入</w:t>
            </w: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三、教育支出</w:t>
            </w:r>
          </w:p>
        </w:tc>
        <w:tc>
          <w:tcPr>
            <w:tcW w:w="197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37,703,744.60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四、财政专户管理资金</w:t>
            </w: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四、科学技术支出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五、事业收入</w:t>
            </w: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五、文化旅游体育与传媒支出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六、事业单位经营收入</w:t>
            </w: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六、社会保障和就业支出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七、上级补助收入</w:t>
            </w: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七、卫生健康支出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八、附属单位上缴收入</w:t>
            </w: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八、节能环保支出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九、其他收入</w:t>
            </w:r>
          </w:p>
        </w:tc>
        <w:tc>
          <w:tcPr>
            <w:tcW w:w="1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143,825.20</w:t>
            </w: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九、城乡社区支出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jc w:val="both"/>
            </w:pP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十、农林水支出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jc w:val="both"/>
            </w:pP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十一、交通运输支出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jc w:val="both"/>
            </w:pP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十二、资源勘探工业信息等支出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jc w:val="both"/>
            </w:pP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十三、商业服务业等支出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jc w:val="both"/>
            </w:pP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十四、金融支出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jc w:val="both"/>
            </w:pP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十五、援助其他地区支出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jc w:val="both"/>
            </w:pP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十六、自然资源海洋气象等支出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jc w:val="both"/>
            </w:pP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十七、住房保障支出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jc w:val="both"/>
            </w:pP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十八、粮油物资储备支出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jc w:val="both"/>
            </w:pP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十九、国有资本经营预算支出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jc w:val="both"/>
            </w:pP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二十、灾害防治及应急管理支出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jc w:val="both"/>
            </w:pP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二十一、其他支出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jc w:val="both"/>
            </w:pP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二十二、债务付息支出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jc w:val="both"/>
            </w:pP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二十三、抗疫特别国债安排的支出</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本年收入合计</w:t>
            </w:r>
          </w:p>
        </w:tc>
        <w:tc>
          <w:tcPr>
            <w:tcW w:w="1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37,703,744.60</w:t>
            </w: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本年支出合计</w:t>
            </w:r>
          </w:p>
        </w:tc>
        <w:tc>
          <w:tcPr>
            <w:tcW w:w="197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37,703,744.60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十、使用非财政拨款结余</w:t>
            </w: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二十四、结余分配</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十一、年初结转和结余</w:t>
            </w: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二十五、年末结转和结余</w:t>
            </w: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 xml:space="preserve">     其中：财政拨款结转和结余</w:t>
            </w: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jc w:val="both"/>
            </w:pP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 xml:space="preserve">           其他结转和结余</w:t>
            </w:r>
          </w:p>
        </w:tc>
        <w:tc>
          <w:tcPr>
            <w:tcW w:w="1980" w:type="dxa"/>
            <w:vAlign w:val="center"/>
          </w:tcPr>
          <w:p>
            <w:pPr>
              <w:pageBreakBefore w:val="0"/>
              <w:kinsoku/>
              <w:wordWrap/>
              <w:overflowPunct/>
              <w:topLinePunct w:val="0"/>
              <w:autoSpaceDE/>
              <w:autoSpaceDN/>
              <w:bidi w:val="0"/>
              <w:jc w:val="both"/>
            </w:pPr>
          </w:p>
        </w:tc>
        <w:tc>
          <w:tcPr>
            <w:tcW w:w="4640" w:type="dxa"/>
            <w:vAlign w:val="center"/>
          </w:tcPr>
          <w:p>
            <w:pPr>
              <w:pageBreakBefore w:val="0"/>
              <w:kinsoku/>
              <w:wordWrap/>
              <w:overflowPunct/>
              <w:topLinePunct w:val="0"/>
              <w:autoSpaceDE/>
              <w:autoSpaceDN/>
              <w:bidi w:val="0"/>
              <w:jc w:val="both"/>
            </w:pPr>
          </w:p>
        </w:tc>
        <w:tc>
          <w:tcPr>
            <w:tcW w:w="19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5" w:hRule="exact"/>
          <w:jc w:val="center"/>
        </w:trPr>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收入总计</w:t>
            </w:r>
          </w:p>
        </w:tc>
        <w:tc>
          <w:tcPr>
            <w:tcW w:w="1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37,703,744.60</w:t>
            </w:r>
          </w:p>
        </w:tc>
        <w:tc>
          <w:tcPr>
            <w:tcW w:w="4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支出总计</w:t>
            </w:r>
          </w:p>
        </w:tc>
        <w:tc>
          <w:tcPr>
            <w:tcW w:w="197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37,703,744.60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pageBreakBefore w:val="0"/>
              <w:kinsoku/>
              <w:wordWrap/>
              <w:overflowPunct/>
              <w:topLinePunct w:val="0"/>
              <w:autoSpaceDE/>
              <w:autoSpaceDN/>
              <w:bidi w:val="0"/>
              <w:jc w:val="both"/>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pageBreakBefore w:val="0"/>
              <w:kinsoku/>
              <w:wordWrap/>
              <w:overflowPunct/>
              <w:topLinePunct w:val="0"/>
              <w:autoSpaceDE/>
              <w:autoSpaceDN/>
              <w:bidi w:val="0"/>
              <w:jc w:val="both"/>
            </w:pPr>
            <w:r>
              <w:rPr>
                <w:rFonts w:ascii="宋体" w:hAnsi="宋体" w:eastAsia="宋体" w:cs="宋体"/>
                <w:sz w:val="20"/>
              </w:rPr>
              <w:t>单位：天津市西青区中北第二小学</w:t>
            </w:r>
          </w:p>
        </w:tc>
        <w:tc>
          <w:tcPr>
            <w:tcW w:w="2000" w:type="dxa"/>
          </w:tcPr>
          <w:p>
            <w:pPr>
              <w:pageBreakBefore w:val="0"/>
              <w:kinsoku/>
              <w:wordWrap/>
              <w:overflowPunct/>
              <w:topLinePunct w:val="0"/>
              <w:autoSpaceDE/>
              <w:autoSpaceDN/>
              <w:bidi w:val="0"/>
              <w:jc w:val="both"/>
            </w:pPr>
          </w:p>
        </w:tc>
        <w:tc>
          <w:tcPr>
            <w:tcW w:w="5619" w:type="dxa"/>
          </w:tcPr>
          <w:p>
            <w:pPr>
              <w:pageBreakBefore w:val="0"/>
              <w:kinsoku/>
              <w:wordWrap/>
              <w:overflowPunct/>
              <w:topLinePunct w:val="0"/>
              <w:autoSpaceDE/>
              <w:autoSpaceDN/>
              <w:bidi w:val="0"/>
              <w:jc w:val="both"/>
            </w:pPr>
            <w:r>
              <w:rPr>
                <w:rFonts w:ascii="宋体" w:hAnsi="宋体" w:eastAsia="宋体" w:cs="宋体"/>
                <w:sz w:val="20"/>
              </w:rPr>
              <w:t>单位：元</w:t>
            </w:r>
          </w:p>
        </w:tc>
      </w:tr>
    </w:tbl>
    <w:p>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4" w:hRule="exact"/>
          <w:jc w:val="center"/>
        </w:trPr>
        <w:tc>
          <w:tcPr>
            <w:tcW w:w="336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项      目</w:t>
            </w:r>
          </w:p>
        </w:tc>
        <w:tc>
          <w:tcPr>
            <w:tcW w:w="124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本年收入合计</w:t>
            </w:r>
          </w:p>
        </w:tc>
        <w:tc>
          <w:tcPr>
            <w:tcW w:w="124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财政拨款收入</w:t>
            </w:r>
          </w:p>
        </w:tc>
        <w:tc>
          <w:tcPr>
            <w:tcW w:w="124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上级补助收入</w:t>
            </w:r>
          </w:p>
        </w:tc>
        <w:tc>
          <w:tcPr>
            <w:tcW w:w="248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事业收入</w:t>
            </w:r>
          </w:p>
        </w:tc>
        <w:tc>
          <w:tcPr>
            <w:tcW w:w="124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经营收入</w:t>
            </w:r>
          </w:p>
        </w:tc>
        <w:tc>
          <w:tcPr>
            <w:tcW w:w="124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附属单位上缴收入</w:t>
            </w:r>
          </w:p>
        </w:tc>
        <w:tc>
          <w:tcPr>
            <w:tcW w:w="1198"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其他收入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94" w:hRule="exact"/>
          <w:jc w:val="center"/>
        </w:trPr>
        <w:tc>
          <w:tcPr>
            <w:tcW w:w="8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科目编码</w:t>
            </w:r>
          </w:p>
        </w:tc>
        <w:tc>
          <w:tcPr>
            <w:tcW w:w="2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科目名称</w:t>
            </w:r>
          </w:p>
        </w:tc>
        <w:tc>
          <w:tcPr>
            <w:tcW w:w="1240" w:type="dxa"/>
            <w:vMerge w:val="continue"/>
            <w:vAlign w:val="center"/>
          </w:tcPr>
          <w:p>
            <w:pPr>
              <w:pageBreakBefore w:val="0"/>
              <w:kinsoku/>
              <w:wordWrap/>
              <w:overflowPunct/>
              <w:topLinePunct w:val="0"/>
              <w:autoSpaceDE/>
              <w:autoSpaceDN/>
              <w:bidi w:val="0"/>
              <w:jc w:val="both"/>
            </w:pPr>
          </w:p>
        </w:tc>
        <w:tc>
          <w:tcPr>
            <w:tcW w:w="1240" w:type="dxa"/>
            <w:vMerge w:val="continue"/>
            <w:vAlign w:val="center"/>
          </w:tcPr>
          <w:p>
            <w:pPr>
              <w:pageBreakBefore w:val="0"/>
              <w:kinsoku/>
              <w:wordWrap/>
              <w:overflowPunct/>
              <w:topLinePunct w:val="0"/>
              <w:autoSpaceDE/>
              <w:autoSpaceDN/>
              <w:bidi w:val="0"/>
              <w:jc w:val="both"/>
            </w:pPr>
          </w:p>
        </w:tc>
        <w:tc>
          <w:tcPr>
            <w:tcW w:w="1240" w:type="dxa"/>
            <w:vMerge w:val="continue"/>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小计</w:t>
            </w:r>
          </w:p>
        </w:tc>
        <w:tc>
          <w:tcPr>
            <w:tcW w:w="12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其中：教育收费</w:t>
            </w:r>
          </w:p>
        </w:tc>
        <w:tc>
          <w:tcPr>
            <w:tcW w:w="1240" w:type="dxa"/>
            <w:vMerge w:val="continue"/>
            <w:vAlign w:val="center"/>
          </w:tcPr>
          <w:p>
            <w:pPr>
              <w:pageBreakBefore w:val="0"/>
              <w:kinsoku/>
              <w:wordWrap/>
              <w:overflowPunct/>
              <w:topLinePunct w:val="0"/>
              <w:autoSpaceDE/>
              <w:autoSpaceDN/>
              <w:bidi w:val="0"/>
              <w:jc w:val="both"/>
            </w:pPr>
          </w:p>
        </w:tc>
        <w:tc>
          <w:tcPr>
            <w:tcW w:w="1240" w:type="dxa"/>
            <w:vMerge w:val="continue"/>
            <w:vAlign w:val="center"/>
          </w:tcPr>
          <w:p>
            <w:pPr>
              <w:pageBreakBefore w:val="0"/>
              <w:kinsoku/>
              <w:wordWrap/>
              <w:overflowPunct/>
              <w:topLinePunct w:val="0"/>
              <w:autoSpaceDE/>
              <w:autoSpaceDN/>
              <w:bidi w:val="0"/>
              <w:jc w:val="both"/>
            </w:pPr>
          </w:p>
        </w:tc>
        <w:tc>
          <w:tcPr>
            <w:tcW w:w="1198" w:type="dxa"/>
            <w:vMerge w:val="continue"/>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336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合计</w:t>
            </w:r>
          </w:p>
        </w:tc>
        <w:tc>
          <w:tcPr>
            <w:tcW w:w="12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37,703,744.60</w:t>
            </w:r>
          </w:p>
        </w:tc>
        <w:tc>
          <w:tcPr>
            <w:tcW w:w="12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37,559,919.40</w:t>
            </w:r>
          </w:p>
        </w:tc>
        <w:tc>
          <w:tcPr>
            <w:tcW w:w="1240" w:type="dxa"/>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jc w:val="both"/>
            </w:pPr>
          </w:p>
        </w:tc>
        <w:tc>
          <w:tcPr>
            <w:tcW w:w="119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143,825.20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205</w:t>
            </w:r>
          </w:p>
        </w:tc>
        <w:tc>
          <w:tcPr>
            <w:tcW w:w="2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教育支出</w:t>
            </w:r>
          </w:p>
        </w:tc>
        <w:tc>
          <w:tcPr>
            <w:tcW w:w="12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37,703,744.60</w:t>
            </w:r>
          </w:p>
        </w:tc>
        <w:tc>
          <w:tcPr>
            <w:tcW w:w="12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37,559,919.40</w:t>
            </w:r>
          </w:p>
        </w:tc>
        <w:tc>
          <w:tcPr>
            <w:tcW w:w="1240" w:type="dxa"/>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jc w:val="both"/>
            </w:pPr>
          </w:p>
        </w:tc>
        <w:tc>
          <w:tcPr>
            <w:tcW w:w="119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143,825.20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20502</w:t>
            </w:r>
          </w:p>
        </w:tc>
        <w:tc>
          <w:tcPr>
            <w:tcW w:w="2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普通教育</w:t>
            </w:r>
          </w:p>
        </w:tc>
        <w:tc>
          <w:tcPr>
            <w:tcW w:w="12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37,703,744.60</w:t>
            </w:r>
          </w:p>
        </w:tc>
        <w:tc>
          <w:tcPr>
            <w:tcW w:w="12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37,559,919.40</w:t>
            </w:r>
          </w:p>
        </w:tc>
        <w:tc>
          <w:tcPr>
            <w:tcW w:w="1240" w:type="dxa"/>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jc w:val="both"/>
            </w:pPr>
          </w:p>
        </w:tc>
        <w:tc>
          <w:tcPr>
            <w:tcW w:w="119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143,825.20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6" w:hRule="exact"/>
          <w:jc w:val="center"/>
        </w:trPr>
        <w:tc>
          <w:tcPr>
            <w:tcW w:w="8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2050202</w:t>
            </w:r>
          </w:p>
        </w:tc>
        <w:tc>
          <w:tcPr>
            <w:tcW w:w="2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小学教育</w:t>
            </w:r>
          </w:p>
        </w:tc>
        <w:tc>
          <w:tcPr>
            <w:tcW w:w="12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37,703,744.60</w:t>
            </w:r>
          </w:p>
        </w:tc>
        <w:tc>
          <w:tcPr>
            <w:tcW w:w="12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37,559,919.40</w:t>
            </w:r>
          </w:p>
        </w:tc>
        <w:tc>
          <w:tcPr>
            <w:tcW w:w="1240" w:type="dxa"/>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jc w:val="both"/>
            </w:pPr>
          </w:p>
        </w:tc>
        <w:tc>
          <w:tcPr>
            <w:tcW w:w="1240" w:type="dxa"/>
            <w:vAlign w:val="center"/>
          </w:tcPr>
          <w:p>
            <w:pPr>
              <w:pageBreakBefore w:val="0"/>
              <w:kinsoku/>
              <w:wordWrap/>
              <w:overflowPunct/>
              <w:topLinePunct w:val="0"/>
              <w:autoSpaceDE/>
              <w:autoSpaceDN/>
              <w:bidi w:val="0"/>
              <w:jc w:val="both"/>
            </w:pPr>
          </w:p>
        </w:tc>
        <w:tc>
          <w:tcPr>
            <w:tcW w:w="119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143,825.20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注：本表反映本年度取得的各项收入情况。</w:t>
            </w:r>
          </w:p>
        </w:tc>
      </w:tr>
    </w:tbl>
    <w:p>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pageBreakBefore w:val="0"/>
              <w:kinsoku/>
              <w:wordWrap/>
              <w:overflowPunct/>
              <w:topLinePunct w:val="0"/>
              <w:autoSpaceDE/>
              <w:autoSpaceDN/>
              <w:bidi w:val="0"/>
              <w:jc w:val="both"/>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pageBreakBefore w:val="0"/>
              <w:kinsoku/>
              <w:wordWrap/>
              <w:overflowPunct/>
              <w:topLinePunct w:val="0"/>
              <w:autoSpaceDE/>
              <w:autoSpaceDN/>
              <w:bidi w:val="0"/>
              <w:jc w:val="both"/>
            </w:pPr>
            <w:r>
              <w:rPr>
                <w:rFonts w:ascii="宋体" w:hAnsi="宋体" w:eastAsia="宋体" w:cs="宋体"/>
                <w:sz w:val="20"/>
              </w:rPr>
              <w:t>单位：天津市西青区中北第二小学</w:t>
            </w:r>
          </w:p>
        </w:tc>
        <w:tc>
          <w:tcPr>
            <w:tcW w:w="2000" w:type="dxa"/>
          </w:tcPr>
          <w:p>
            <w:pPr>
              <w:pageBreakBefore w:val="0"/>
              <w:kinsoku/>
              <w:wordWrap/>
              <w:overflowPunct/>
              <w:topLinePunct w:val="0"/>
              <w:autoSpaceDE/>
              <w:autoSpaceDN/>
              <w:bidi w:val="0"/>
              <w:jc w:val="both"/>
            </w:pPr>
          </w:p>
        </w:tc>
        <w:tc>
          <w:tcPr>
            <w:tcW w:w="5619" w:type="dxa"/>
          </w:tcPr>
          <w:p>
            <w:pPr>
              <w:pageBreakBefore w:val="0"/>
              <w:kinsoku/>
              <w:wordWrap/>
              <w:overflowPunct/>
              <w:topLinePunct w:val="0"/>
              <w:autoSpaceDE/>
              <w:autoSpaceDN/>
              <w:bidi w:val="0"/>
              <w:jc w:val="both"/>
            </w:pPr>
            <w:r>
              <w:rPr>
                <w:rFonts w:ascii="宋体" w:hAnsi="宋体" w:eastAsia="宋体" w:cs="宋体"/>
                <w:sz w:val="20"/>
              </w:rPr>
              <w:t>单位：元</w:t>
            </w:r>
          </w:p>
        </w:tc>
      </w:tr>
    </w:tbl>
    <w:p>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部门（单位）代码</w:t>
            </w:r>
          </w:p>
        </w:tc>
        <w:tc>
          <w:tcPr>
            <w:tcW w:w="170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部门（单位）名称</w:t>
            </w:r>
          </w:p>
        </w:tc>
        <w:tc>
          <w:tcPr>
            <w:tcW w:w="58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合计</w:t>
            </w:r>
          </w:p>
        </w:tc>
        <w:tc>
          <w:tcPr>
            <w:tcW w:w="5800" w:type="dxa"/>
            <w:gridSpan w:val="10"/>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本年收入</w:t>
            </w:r>
          </w:p>
        </w:tc>
        <w:tc>
          <w:tcPr>
            <w:tcW w:w="4578" w:type="dxa"/>
            <w:gridSpan w:val="8"/>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上年结转和结余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continue"/>
            <w:vAlign w:val="center"/>
          </w:tcPr>
          <w:p>
            <w:pPr>
              <w:pageBreakBefore w:val="0"/>
              <w:kinsoku/>
              <w:wordWrap/>
              <w:overflowPunct/>
              <w:topLinePunct w:val="0"/>
              <w:autoSpaceDE/>
              <w:autoSpaceDN/>
              <w:bidi w:val="0"/>
              <w:jc w:val="both"/>
            </w:pPr>
          </w:p>
        </w:tc>
        <w:tc>
          <w:tcPr>
            <w:tcW w:w="1700" w:type="dxa"/>
            <w:vMerge w:val="continue"/>
            <w:vAlign w:val="center"/>
          </w:tcPr>
          <w:p>
            <w:pPr>
              <w:pageBreakBefore w:val="0"/>
              <w:kinsoku/>
              <w:wordWrap/>
              <w:overflowPunct/>
              <w:topLinePunct w:val="0"/>
              <w:autoSpaceDE/>
              <w:autoSpaceDN/>
              <w:bidi w:val="0"/>
              <w:jc w:val="both"/>
            </w:pPr>
          </w:p>
        </w:tc>
        <w:tc>
          <w:tcPr>
            <w:tcW w:w="580" w:type="dxa"/>
            <w:vMerge w:val="continue"/>
            <w:vAlign w:val="center"/>
          </w:tcPr>
          <w:p>
            <w:pPr>
              <w:pageBreakBefore w:val="0"/>
              <w:kinsoku/>
              <w:wordWrap/>
              <w:overflowPunct/>
              <w:topLinePunct w:val="0"/>
              <w:autoSpaceDE/>
              <w:autoSpaceDN/>
              <w:bidi w:val="0"/>
              <w:jc w:val="both"/>
            </w:pPr>
          </w:p>
        </w:tc>
        <w:tc>
          <w:tcPr>
            <w:tcW w:w="58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小计</w:t>
            </w:r>
          </w:p>
        </w:tc>
        <w:tc>
          <w:tcPr>
            <w:tcW w:w="58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一般公共预算</w:t>
            </w:r>
          </w:p>
        </w:tc>
        <w:tc>
          <w:tcPr>
            <w:tcW w:w="58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政府性基金预算</w:t>
            </w:r>
          </w:p>
        </w:tc>
        <w:tc>
          <w:tcPr>
            <w:tcW w:w="58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国有资本经营预算算</w:t>
            </w:r>
          </w:p>
        </w:tc>
        <w:tc>
          <w:tcPr>
            <w:tcW w:w="58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财政专户管理资金</w:t>
            </w:r>
          </w:p>
        </w:tc>
        <w:tc>
          <w:tcPr>
            <w:tcW w:w="58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事业收入</w:t>
            </w:r>
          </w:p>
        </w:tc>
        <w:tc>
          <w:tcPr>
            <w:tcW w:w="58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事业单位经营收入</w:t>
            </w:r>
          </w:p>
        </w:tc>
        <w:tc>
          <w:tcPr>
            <w:tcW w:w="58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上级补助收入</w:t>
            </w:r>
          </w:p>
        </w:tc>
        <w:tc>
          <w:tcPr>
            <w:tcW w:w="58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附属单位上缴收入</w:t>
            </w:r>
          </w:p>
        </w:tc>
        <w:tc>
          <w:tcPr>
            <w:tcW w:w="58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其他收入</w:t>
            </w:r>
          </w:p>
        </w:tc>
        <w:tc>
          <w:tcPr>
            <w:tcW w:w="58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小计</w:t>
            </w:r>
          </w:p>
        </w:tc>
        <w:tc>
          <w:tcPr>
            <w:tcW w:w="2320" w:type="dxa"/>
            <w:gridSpan w:val="4"/>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财政拨款结转结余</w:t>
            </w:r>
          </w:p>
        </w:tc>
        <w:tc>
          <w:tcPr>
            <w:tcW w:w="1678" w:type="dxa"/>
            <w:gridSpan w:val="3"/>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非财政拨款结转结余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Merge w:val="continue"/>
            <w:vAlign w:val="center"/>
          </w:tcPr>
          <w:p>
            <w:pPr>
              <w:pageBreakBefore w:val="0"/>
              <w:kinsoku/>
              <w:wordWrap/>
              <w:overflowPunct/>
              <w:topLinePunct w:val="0"/>
              <w:autoSpaceDE/>
              <w:autoSpaceDN/>
              <w:bidi w:val="0"/>
              <w:jc w:val="both"/>
            </w:pPr>
          </w:p>
        </w:tc>
        <w:tc>
          <w:tcPr>
            <w:tcW w:w="1700" w:type="dxa"/>
            <w:vMerge w:val="continue"/>
            <w:vAlign w:val="center"/>
          </w:tcPr>
          <w:p>
            <w:pPr>
              <w:pageBreakBefore w:val="0"/>
              <w:kinsoku/>
              <w:wordWrap/>
              <w:overflowPunct/>
              <w:topLinePunct w:val="0"/>
              <w:autoSpaceDE/>
              <w:autoSpaceDN/>
              <w:bidi w:val="0"/>
              <w:jc w:val="both"/>
            </w:pPr>
          </w:p>
        </w:tc>
        <w:tc>
          <w:tcPr>
            <w:tcW w:w="580" w:type="dxa"/>
            <w:vMerge w:val="continue"/>
            <w:vAlign w:val="center"/>
          </w:tcPr>
          <w:p>
            <w:pPr>
              <w:pageBreakBefore w:val="0"/>
              <w:kinsoku/>
              <w:wordWrap/>
              <w:overflowPunct/>
              <w:topLinePunct w:val="0"/>
              <w:autoSpaceDE/>
              <w:autoSpaceDN/>
              <w:bidi w:val="0"/>
              <w:jc w:val="both"/>
            </w:pPr>
          </w:p>
        </w:tc>
        <w:tc>
          <w:tcPr>
            <w:tcW w:w="580" w:type="dxa"/>
            <w:vMerge w:val="continue"/>
            <w:vAlign w:val="center"/>
          </w:tcPr>
          <w:p>
            <w:pPr>
              <w:pageBreakBefore w:val="0"/>
              <w:kinsoku/>
              <w:wordWrap/>
              <w:overflowPunct/>
              <w:topLinePunct w:val="0"/>
              <w:autoSpaceDE/>
              <w:autoSpaceDN/>
              <w:bidi w:val="0"/>
              <w:jc w:val="both"/>
            </w:pPr>
          </w:p>
        </w:tc>
        <w:tc>
          <w:tcPr>
            <w:tcW w:w="580" w:type="dxa"/>
            <w:vMerge w:val="continue"/>
            <w:vAlign w:val="center"/>
          </w:tcPr>
          <w:p>
            <w:pPr>
              <w:pageBreakBefore w:val="0"/>
              <w:kinsoku/>
              <w:wordWrap/>
              <w:overflowPunct/>
              <w:topLinePunct w:val="0"/>
              <w:autoSpaceDE/>
              <w:autoSpaceDN/>
              <w:bidi w:val="0"/>
              <w:jc w:val="both"/>
            </w:pPr>
          </w:p>
        </w:tc>
        <w:tc>
          <w:tcPr>
            <w:tcW w:w="580" w:type="dxa"/>
            <w:vMerge w:val="continue"/>
            <w:vAlign w:val="center"/>
          </w:tcPr>
          <w:p>
            <w:pPr>
              <w:pageBreakBefore w:val="0"/>
              <w:kinsoku/>
              <w:wordWrap/>
              <w:overflowPunct/>
              <w:topLinePunct w:val="0"/>
              <w:autoSpaceDE/>
              <w:autoSpaceDN/>
              <w:bidi w:val="0"/>
              <w:jc w:val="both"/>
            </w:pPr>
          </w:p>
        </w:tc>
        <w:tc>
          <w:tcPr>
            <w:tcW w:w="580" w:type="dxa"/>
            <w:vMerge w:val="continue"/>
            <w:vAlign w:val="center"/>
          </w:tcPr>
          <w:p>
            <w:pPr>
              <w:pageBreakBefore w:val="0"/>
              <w:kinsoku/>
              <w:wordWrap/>
              <w:overflowPunct/>
              <w:topLinePunct w:val="0"/>
              <w:autoSpaceDE/>
              <w:autoSpaceDN/>
              <w:bidi w:val="0"/>
              <w:jc w:val="both"/>
            </w:pPr>
          </w:p>
        </w:tc>
        <w:tc>
          <w:tcPr>
            <w:tcW w:w="580" w:type="dxa"/>
            <w:vMerge w:val="continue"/>
            <w:vAlign w:val="center"/>
          </w:tcPr>
          <w:p>
            <w:pPr>
              <w:pageBreakBefore w:val="0"/>
              <w:kinsoku/>
              <w:wordWrap/>
              <w:overflowPunct/>
              <w:topLinePunct w:val="0"/>
              <w:autoSpaceDE/>
              <w:autoSpaceDN/>
              <w:bidi w:val="0"/>
              <w:jc w:val="both"/>
            </w:pPr>
          </w:p>
        </w:tc>
        <w:tc>
          <w:tcPr>
            <w:tcW w:w="580" w:type="dxa"/>
            <w:vMerge w:val="continue"/>
            <w:vAlign w:val="center"/>
          </w:tcPr>
          <w:p>
            <w:pPr>
              <w:pageBreakBefore w:val="0"/>
              <w:kinsoku/>
              <w:wordWrap/>
              <w:overflowPunct/>
              <w:topLinePunct w:val="0"/>
              <w:autoSpaceDE/>
              <w:autoSpaceDN/>
              <w:bidi w:val="0"/>
              <w:jc w:val="both"/>
            </w:pPr>
          </w:p>
        </w:tc>
        <w:tc>
          <w:tcPr>
            <w:tcW w:w="580" w:type="dxa"/>
            <w:vMerge w:val="continue"/>
            <w:vAlign w:val="center"/>
          </w:tcPr>
          <w:p>
            <w:pPr>
              <w:pageBreakBefore w:val="0"/>
              <w:kinsoku/>
              <w:wordWrap/>
              <w:overflowPunct/>
              <w:topLinePunct w:val="0"/>
              <w:autoSpaceDE/>
              <w:autoSpaceDN/>
              <w:bidi w:val="0"/>
              <w:jc w:val="both"/>
            </w:pPr>
          </w:p>
        </w:tc>
        <w:tc>
          <w:tcPr>
            <w:tcW w:w="580" w:type="dxa"/>
            <w:vMerge w:val="continue"/>
            <w:vAlign w:val="center"/>
          </w:tcPr>
          <w:p>
            <w:pPr>
              <w:pageBreakBefore w:val="0"/>
              <w:kinsoku/>
              <w:wordWrap/>
              <w:overflowPunct/>
              <w:topLinePunct w:val="0"/>
              <w:autoSpaceDE/>
              <w:autoSpaceDN/>
              <w:bidi w:val="0"/>
              <w:jc w:val="both"/>
            </w:pPr>
          </w:p>
        </w:tc>
        <w:tc>
          <w:tcPr>
            <w:tcW w:w="580" w:type="dxa"/>
            <w:vMerge w:val="continue"/>
            <w:vAlign w:val="center"/>
          </w:tcPr>
          <w:p>
            <w:pPr>
              <w:pageBreakBefore w:val="0"/>
              <w:kinsoku/>
              <w:wordWrap/>
              <w:overflowPunct/>
              <w:topLinePunct w:val="0"/>
              <w:autoSpaceDE/>
              <w:autoSpaceDN/>
              <w:bidi w:val="0"/>
              <w:jc w:val="both"/>
            </w:pPr>
          </w:p>
        </w:tc>
        <w:tc>
          <w:tcPr>
            <w:tcW w:w="580" w:type="dxa"/>
            <w:vMerge w:val="continue"/>
            <w:vAlign w:val="center"/>
          </w:tcPr>
          <w:p>
            <w:pPr>
              <w:pageBreakBefore w:val="0"/>
              <w:kinsoku/>
              <w:wordWrap/>
              <w:overflowPunct/>
              <w:topLinePunct w:val="0"/>
              <w:autoSpaceDE/>
              <w:autoSpaceDN/>
              <w:bidi w:val="0"/>
              <w:jc w:val="both"/>
            </w:pPr>
          </w:p>
        </w:tc>
        <w:tc>
          <w:tcPr>
            <w:tcW w:w="580" w:type="dxa"/>
            <w:vMerge w:val="continue"/>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小计</w:t>
            </w:r>
          </w:p>
        </w:tc>
        <w:tc>
          <w:tcPr>
            <w:tcW w:w="5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一般公共预算</w:t>
            </w:r>
          </w:p>
        </w:tc>
        <w:tc>
          <w:tcPr>
            <w:tcW w:w="5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政府性基金预算</w:t>
            </w:r>
          </w:p>
        </w:tc>
        <w:tc>
          <w:tcPr>
            <w:tcW w:w="5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国有资本经营预算</w:t>
            </w:r>
          </w:p>
        </w:tc>
        <w:tc>
          <w:tcPr>
            <w:tcW w:w="5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小计</w:t>
            </w:r>
          </w:p>
        </w:tc>
        <w:tc>
          <w:tcPr>
            <w:tcW w:w="5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财政专户管理资金</w:t>
            </w:r>
          </w:p>
        </w:tc>
        <w:tc>
          <w:tcPr>
            <w:tcW w:w="51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单位资金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228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合计</w:t>
            </w:r>
          </w:p>
        </w:tc>
        <w:tc>
          <w:tcPr>
            <w:tcW w:w="5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37,703,744.60</w:t>
            </w:r>
          </w:p>
        </w:tc>
        <w:tc>
          <w:tcPr>
            <w:tcW w:w="5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37,703,744.60</w:t>
            </w:r>
          </w:p>
        </w:tc>
        <w:tc>
          <w:tcPr>
            <w:tcW w:w="5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37,559,919.40</w:t>
            </w: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143,825.20</w:t>
            </w: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9" w:hRule="exact"/>
          <w:jc w:val="center"/>
        </w:trPr>
        <w:tc>
          <w:tcPr>
            <w:tcW w:w="5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801207</w:t>
            </w:r>
          </w:p>
        </w:tc>
        <w:tc>
          <w:tcPr>
            <w:tcW w:w="170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天津市西青区中北第二小学</w:t>
            </w:r>
          </w:p>
        </w:tc>
        <w:tc>
          <w:tcPr>
            <w:tcW w:w="5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37,703,744.60</w:t>
            </w:r>
          </w:p>
        </w:tc>
        <w:tc>
          <w:tcPr>
            <w:tcW w:w="5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37,703,744.60</w:t>
            </w:r>
          </w:p>
        </w:tc>
        <w:tc>
          <w:tcPr>
            <w:tcW w:w="5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37,559,919.40</w:t>
            </w: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0"/>
              </w:rPr>
              <w:t>143,825.20</w:t>
            </w: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80" w:type="dxa"/>
            <w:vAlign w:val="center"/>
          </w:tcPr>
          <w:p>
            <w:pPr>
              <w:pageBreakBefore w:val="0"/>
              <w:kinsoku/>
              <w:wordWrap/>
              <w:overflowPunct/>
              <w:topLinePunct w:val="0"/>
              <w:autoSpaceDE/>
              <w:autoSpaceDN/>
              <w:bidi w:val="0"/>
              <w:jc w:val="both"/>
            </w:pPr>
          </w:p>
        </w:tc>
        <w:tc>
          <w:tcPr>
            <w:tcW w:w="5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8"/>
              </w:rPr>
              <w:t>注：本表反映本年度取得的各项收入情况。财政专户管理资金是指教育收费；事业收入不含教育收费。</w:t>
            </w:r>
          </w:p>
        </w:tc>
      </w:tr>
    </w:tbl>
    <w:p>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pageBreakBefore w:val="0"/>
              <w:kinsoku/>
              <w:wordWrap/>
              <w:overflowPunct/>
              <w:topLinePunct w:val="0"/>
              <w:autoSpaceDE/>
              <w:autoSpaceDN/>
              <w:bidi w:val="0"/>
              <w:jc w:val="both"/>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pageBreakBefore w:val="0"/>
              <w:kinsoku/>
              <w:wordWrap/>
              <w:overflowPunct/>
              <w:topLinePunct w:val="0"/>
              <w:autoSpaceDE/>
              <w:autoSpaceDN/>
              <w:bidi w:val="0"/>
              <w:jc w:val="both"/>
            </w:pPr>
            <w:r>
              <w:rPr>
                <w:rFonts w:ascii="宋体" w:hAnsi="宋体" w:eastAsia="宋体" w:cs="宋体"/>
                <w:sz w:val="20"/>
              </w:rPr>
              <w:t>单位：天津市西青区中北第二小学</w:t>
            </w:r>
          </w:p>
        </w:tc>
        <w:tc>
          <w:tcPr>
            <w:tcW w:w="2000" w:type="dxa"/>
          </w:tcPr>
          <w:p>
            <w:pPr>
              <w:pageBreakBefore w:val="0"/>
              <w:kinsoku/>
              <w:wordWrap/>
              <w:overflowPunct/>
              <w:topLinePunct w:val="0"/>
              <w:autoSpaceDE/>
              <w:autoSpaceDN/>
              <w:bidi w:val="0"/>
              <w:jc w:val="both"/>
            </w:pPr>
          </w:p>
        </w:tc>
        <w:tc>
          <w:tcPr>
            <w:tcW w:w="5619" w:type="dxa"/>
          </w:tcPr>
          <w:p>
            <w:pPr>
              <w:pageBreakBefore w:val="0"/>
              <w:kinsoku/>
              <w:wordWrap/>
              <w:overflowPunct/>
              <w:topLinePunct w:val="0"/>
              <w:autoSpaceDE/>
              <w:autoSpaceDN/>
              <w:bidi w:val="0"/>
              <w:jc w:val="both"/>
            </w:pPr>
            <w:r>
              <w:rPr>
                <w:rFonts w:ascii="宋体" w:hAnsi="宋体" w:eastAsia="宋体" w:cs="宋体"/>
                <w:sz w:val="20"/>
              </w:rPr>
              <w:t>单位：元</w:t>
            </w:r>
          </w:p>
        </w:tc>
      </w:tr>
    </w:tbl>
    <w:p>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07" w:hRule="exact"/>
          <w:jc w:val="center"/>
        </w:trPr>
        <w:tc>
          <w:tcPr>
            <w:tcW w:w="412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支出功能分类科目</w:t>
            </w:r>
          </w:p>
        </w:tc>
        <w:tc>
          <w:tcPr>
            <w:tcW w:w="152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本年支出合计</w:t>
            </w:r>
          </w:p>
        </w:tc>
        <w:tc>
          <w:tcPr>
            <w:tcW w:w="152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基本支出</w:t>
            </w:r>
          </w:p>
        </w:tc>
        <w:tc>
          <w:tcPr>
            <w:tcW w:w="152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项目支出</w:t>
            </w:r>
          </w:p>
        </w:tc>
        <w:tc>
          <w:tcPr>
            <w:tcW w:w="152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上缴上级支出</w:t>
            </w:r>
          </w:p>
        </w:tc>
        <w:tc>
          <w:tcPr>
            <w:tcW w:w="152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经营支出</w:t>
            </w:r>
          </w:p>
        </w:tc>
        <w:tc>
          <w:tcPr>
            <w:tcW w:w="1518"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对附属单位补助支出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607" w:hRule="exact"/>
          <w:jc w:val="center"/>
        </w:trPr>
        <w:tc>
          <w:tcPr>
            <w:tcW w:w="10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科目编码</w:t>
            </w:r>
          </w:p>
        </w:tc>
        <w:tc>
          <w:tcPr>
            <w:tcW w:w="30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科目名称</w:t>
            </w:r>
          </w:p>
        </w:tc>
        <w:tc>
          <w:tcPr>
            <w:tcW w:w="1520" w:type="dxa"/>
            <w:vMerge w:val="continue"/>
            <w:vAlign w:val="center"/>
          </w:tcPr>
          <w:p>
            <w:pPr>
              <w:pageBreakBefore w:val="0"/>
              <w:kinsoku/>
              <w:wordWrap/>
              <w:overflowPunct/>
              <w:topLinePunct w:val="0"/>
              <w:autoSpaceDE/>
              <w:autoSpaceDN/>
              <w:bidi w:val="0"/>
              <w:jc w:val="both"/>
            </w:pPr>
          </w:p>
        </w:tc>
        <w:tc>
          <w:tcPr>
            <w:tcW w:w="1520" w:type="dxa"/>
            <w:vMerge w:val="continue"/>
            <w:vAlign w:val="center"/>
          </w:tcPr>
          <w:p>
            <w:pPr>
              <w:pageBreakBefore w:val="0"/>
              <w:kinsoku/>
              <w:wordWrap/>
              <w:overflowPunct/>
              <w:topLinePunct w:val="0"/>
              <w:autoSpaceDE/>
              <w:autoSpaceDN/>
              <w:bidi w:val="0"/>
              <w:jc w:val="both"/>
            </w:pPr>
          </w:p>
        </w:tc>
        <w:tc>
          <w:tcPr>
            <w:tcW w:w="1520" w:type="dxa"/>
            <w:vMerge w:val="continue"/>
            <w:vAlign w:val="center"/>
          </w:tcPr>
          <w:p>
            <w:pPr>
              <w:pageBreakBefore w:val="0"/>
              <w:kinsoku/>
              <w:wordWrap/>
              <w:overflowPunct/>
              <w:topLinePunct w:val="0"/>
              <w:autoSpaceDE/>
              <w:autoSpaceDN/>
              <w:bidi w:val="0"/>
              <w:jc w:val="both"/>
            </w:pPr>
          </w:p>
        </w:tc>
        <w:tc>
          <w:tcPr>
            <w:tcW w:w="1520" w:type="dxa"/>
            <w:vMerge w:val="continue"/>
            <w:vAlign w:val="center"/>
          </w:tcPr>
          <w:p>
            <w:pPr>
              <w:pageBreakBefore w:val="0"/>
              <w:kinsoku/>
              <w:wordWrap/>
              <w:overflowPunct/>
              <w:topLinePunct w:val="0"/>
              <w:autoSpaceDE/>
              <w:autoSpaceDN/>
              <w:bidi w:val="0"/>
              <w:jc w:val="both"/>
            </w:pPr>
          </w:p>
        </w:tc>
        <w:tc>
          <w:tcPr>
            <w:tcW w:w="1520" w:type="dxa"/>
            <w:vMerge w:val="continue"/>
            <w:vAlign w:val="center"/>
          </w:tcPr>
          <w:p>
            <w:pPr>
              <w:pageBreakBefore w:val="0"/>
              <w:kinsoku/>
              <w:wordWrap/>
              <w:overflowPunct/>
              <w:topLinePunct w:val="0"/>
              <w:autoSpaceDE/>
              <w:autoSpaceDN/>
              <w:bidi w:val="0"/>
              <w:jc w:val="both"/>
            </w:pPr>
          </w:p>
        </w:tc>
        <w:tc>
          <w:tcPr>
            <w:tcW w:w="1518" w:type="dxa"/>
            <w:vMerge w:val="continue"/>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合计</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37,703,744.60</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29,389,101.71</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8,314,642.89</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205</w:t>
            </w:r>
          </w:p>
        </w:tc>
        <w:tc>
          <w:tcPr>
            <w:tcW w:w="30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教育支出</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37,703,744.60</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29,389,101.71</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8,314,642.89</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20502</w:t>
            </w:r>
          </w:p>
        </w:tc>
        <w:tc>
          <w:tcPr>
            <w:tcW w:w="30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普通教育</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37,703,744.60</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29,389,101.71</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8,314,642.89</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2050202</w:t>
            </w:r>
          </w:p>
        </w:tc>
        <w:tc>
          <w:tcPr>
            <w:tcW w:w="30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小学教育</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37,703,744.60</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29,389,101.71</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8,314,642.89</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注：本表反映本年度各项支出情况。</w:t>
            </w:r>
          </w:p>
        </w:tc>
      </w:tr>
    </w:tbl>
    <w:p>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pageBreakBefore w:val="0"/>
              <w:kinsoku/>
              <w:wordWrap/>
              <w:overflowPunct/>
              <w:topLinePunct w:val="0"/>
              <w:autoSpaceDE/>
              <w:autoSpaceDN/>
              <w:bidi w:val="0"/>
              <w:jc w:val="both"/>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pageBreakBefore w:val="0"/>
              <w:kinsoku/>
              <w:wordWrap/>
              <w:overflowPunct/>
              <w:topLinePunct w:val="0"/>
              <w:autoSpaceDE/>
              <w:autoSpaceDN/>
              <w:bidi w:val="0"/>
              <w:jc w:val="both"/>
            </w:pPr>
            <w:r>
              <w:rPr>
                <w:rFonts w:ascii="宋体" w:hAnsi="宋体" w:eastAsia="宋体" w:cs="宋体"/>
                <w:sz w:val="20"/>
              </w:rPr>
              <w:t>单位：天津市西青区中北第二小学</w:t>
            </w:r>
          </w:p>
        </w:tc>
        <w:tc>
          <w:tcPr>
            <w:tcW w:w="2000" w:type="dxa"/>
          </w:tcPr>
          <w:p>
            <w:pPr>
              <w:pageBreakBefore w:val="0"/>
              <w:kinsoku/>
              <w:wordWrap/>
              <w:overflowPunct/>
              <w:topLinePunct w:val="0"/>
              <w:autoSpaceDE/>
              <w:autoSpaceDN/>
              <w:bidi w:val="0"/>
              <w:jc w:val="both"/>
            </w:pPr>
          </w:p>
        </w:tc>
        <w:tc>
          <w:tcPr>
            <w:tcW w:w="5619" w:type="dxa"/>
          </w:tcPr>
          <w:p>
            <w:pPr>
              <w:pageBreakBefore w:val="0"/>
              <w:kinsoku/>
              <w:wordWrap/>
              <w:overflowPunct/>
              <w:topLinePunct w:val="0"/>
              <w:autoSpaceDE/>
              <w:autoSpaceDN/>
              <w:bidi w:val="0"/>
              <w:jc w:val="both"/>
            </w:pPr>
            <w:r>
              <w:rPr>
                <w:rFonts w:ascii="宋体" w:hAnsi="宋体" w:eastAsia="宋体" w:cs="宋体"/>
                <w:sz w:val="20"/>
              </w:rPr>
              <w:t>单位：元</w:t>
            </w:r>
          </w:p>
        </w:tc>
      </w:tr>
    </w:tbl>
    <w:p>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484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收入</w:t>
            </w:r>
          </w:p>
        </w:tc>
        <w:tc>
          <w:tcPr>
            <w:tcW w:w="8398" w:type="dxa"/>
            <w:gridSpan w:val="5"/>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06" w:hRule="exact"/>
          <w:jc w:val="center"/>
        </w:trPr>
        <w:tc>
          <w:tcPr>
            <w:tcW w:w="3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项    目</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金额</w:t>
            </w: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项    目</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合计</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一般公共预算财政拨款</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政府性基金预算财政拨款</w:t>
            </w:r>
          </w:p>
        </w:tc>
        <w:tc>
          <w:tcPr>
            <w:tcW w:w="137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国有资本经营预算财政拨款</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一、一般公共预算财政拨款</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37,559,919.40</w:t>
            </w: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一、一般公共服务支出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二、政府性基金预算财政拨款</w:t>
            </w: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二、公共安全支出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三、国有资本经营预算财政拨款</w:t>
            </w: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三、教育支出</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37,559,919.40</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37,559,919.40</w:t>
            </w: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四、科学技术支出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五、文化旅游体育与传媒支出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六、社会保障和就业支出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七、卫生健康支出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八、节能环保支出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九、城乡社区支出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十、农林水支出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十一、交通运输支出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十二、资源勘探工业信息等支出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十三、商业服务业等支出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十四、金融支出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十五、援助其他地区支出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十六、自然资源海洋气象等支出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十七、住房保障支出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十八、粮油物资储备支出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十九、国有资本经营预算支出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二十、灾害防治及应急管理支出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二十一、其他支出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二十二、债务付息支出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二十三、抗疫特别国债安排的支出</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6"/>
              </w:rPr>
              <w:t>本年收入合计</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37,559,919.40</w:t>
            </w: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6"/>
              </w:rPr>
              <w:t>本年支出合计</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37,559,919.40</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37,559,919.40</w:t>
            </w: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 xml:space="preserve">   年初财政拨款结转和结余</w:t>
            </w: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年末财政拨款结转和结余</w:t>
            </w: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 xml:space="preserve">      一般公共预算财政拨款</w:t>
            </w: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 xml:space="preserve">      政府性基金预算财政拨款</w:t>
            </w: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 xml:space="preserve">      国有资本经营预算财政拨款</w:t>
            </w:r>
          </w:p>
        </w:tc>
        <w:tc>
          <w:tcPr>
            <w:tcW w:w="1420" w:type="dxa"/>
            <w:vAlign w:val="center"/>
          </w:tcPr>
          <w:p>
            <w:pPr>
              <w:pageBreakBefore w:val="0"/>
              <w:kinsoku/>
              <w:wordWrap/>
              <w:overflowPunct/>
              <w:topLinePunct w:val="0"/>
              <w:autoSpaceDE/>
              <w:autoSpaceDN/>
              <w:bidi w:val="0"/>
              <w:jc w:val="both"/>
            </w:pPr>
          </w:p>
        </w:tc>
        <w:tc>
          <w:tcPr>
            <w:tcW w:w="276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53" w:hRule="exact"/>
          <w:jc w:val="center"/>
        </w:trPr>
        <w:tc>
          <w:tcPr>
            <w:tcW w:w="342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6"/>
              </w:rPr>
              <w:t>合计</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37,559,919.40</w:t>
            </w:r>
          </w:p>
        </w:tc>
        <w:tc>
          <w:tcPr>
            <w:tcW w:w="276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6"/>
              </w:rPr>
              <w:t>合计</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37,559,919.40</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37,559,919.40</w:t>
            </w:r>
          </w:p>
        </w:tc>
        <w:tc>
          <w:tcPr>
            <w:tcW w:w="1420" w:type="dxa"/>
            <w:vAlign w:val="center"/>
          </w:tcPr>
          <w:p>
            <w:pPr>
              <w:pageBreakBefore w:val="0"/>
              <w:kinsoku/>
              <w:wordWrap/>
              <w:overflowPunct/>
              <w:topLinePunct w:val="0"/>
              <w:autoSpaceDE/>
              <w:autoSpaceDN/>
              <w:bidi w:val="0"/>
              <w:jc w:val="both"/>
            </w:pPr>
          </w:p>
        </w:tc>
        <w:tc>
          <w:tcPr>
            <w:tcW w:w="137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pageBreakBefore w:val="0"/>
              <w:kinsoku/>
              <w:wordWrap/>
              <w:overflowPunct/>
              <w:topLinePunct w:val="0"/>
              <w:autoSpaceDE/>
              <w:autoSpaceDN/>
              <w:bidi w:val="0"/>
              <w:jc w:val="both"/>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pageBreakBefore w:val="0"/>
              <w:kinsoku/>
              <w:wordWrap/>
              <w:overflowPunct/>
              <w:topLinePunct w:val="0"/>
              <w:autoSpaceDE/>
              <w:autoSpaceDN/>
              <w:bidi w:val="0"/>
              <w:jc w:val="both"/>
            </w:pPr>
            <w:r>
              <w:rPr>
                <w:rFonts w:ascii="宋体" w:hAnsi="宋体" w:eastAsia="宋体" w:cs="宋体"/>
                <w:sz w:val="20"/>
              </w:rPr>
              <w:t>单位：天津市西青区中北第二小学</w:t>
            </w:r>
          </w:p>
        </w:tc>
        <w:tc>
          <w:tcPr>
            <w:tcW w:w="2000" w:type="dxa"/>
          </w:tcPr>
          <w:p>
            <w:pPr>
              <w:pageBreakBefore w:val="0"/>
              <w:kinsoku/>
              <w:wordWrap/>
              <w:overflowPunct/>
              <w:topLinePunct w:val="0"/>
              <w:autoSpaceDE/>
              <w:autoSpaceDN/>
              <w:bidi w:val="0"/>
              <w:jc w:val="both"/>
            </w:pPr>
          </w:p>
        </w:tc>
        <w:tc>
          <w:tcPr>
            <w:tcW w:w="5619" w:type="dxa"/>
          </w:tcPr>
          <w:p>
            <w:pPr>
              <w:pageBreakBefore w:val="0"/>
              <w:kinsoku/>
              <w:wordWrap/>
              <w:overflowPunct/>
              <w:topLinePunct w:val="0"/>
              <w:autoSpaceDE/>
              <w:autoSpaceDN/>
              <w:bidi w:val="0"/>
              <w:jc w:val="both"/>
            </w:pPr>
            <w:r>
              <w:rPr>
                <w:rFonts w:ascii="宋体" w:hAnsi="宋体" w:eastAsia="宋体" w:cs="宋体"/>
                <w:sz w:val="20"/>
              </w:rPr>
              <w:t>单位：元</w:t>
            </w:r>
          </w:p>
        </w:tc>
      </w:tr>
    </w:tbl>
    <w:p>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51" w:hRule="exact"/>
          <w:jc w:val="center"/>
        </w:trPr>
        <w:tc>
          <w:tcPr>
            <w:tcW w:w="466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支出功能分类科目</w:t>
            </w:r>
          </w:p>
        </w:tc>
        <w:tc>
          <w:tcPr>
            <w:tcW w:w="172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合计</w:t>
            </w:r>
          </w:p>
        </w:tc>
        <w:tc>
          <w:tcPr>
            <w:tcW w:w="5160" w:type="dxa"/>
            <w:gridSpan w:val="3"/>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 xml:space="preserve">基本支出  </w:t>
            </w:r>
          </w:p>
        </w:tc>
        <w:tc>
          <w:tcPr>
            <w:tcW w:w="1698"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项目支出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3" w:hRule="exact"/>
          <w:jc w:val="center"/>
        </w:trPr>
        <w:tc>
          <w:tcPr>
            <w:tcW w:w="11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科目编码</w:t>
            </w:r>
          </w:p>
        </w:tc>
        <w:tc>
          <w:tcPr>
            <w:tcW w:w="34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科目名称</w:t>
            </w:r>
          </w:p>
        </w:tc>
        <w:tc>
          <w:tcPr>
            <w:tcW w:w="1720" w:type="dxa"/>
            <w:vMerge w:val="continue"/>
            <w:vAlign w:val="center"/>
          </w:tcPr>
          <w:p>
            <w:pPr>
              <w:pageBreakBefore w:val="0"/>
              <w:kinsoku/>
              <w:wordWrap/>
              <w:overflowPunct/>
              <w:topLinePunct w:val="0"/>
              <w:autoSpaceDE/>
              <w:autoSpaceDN/>
              <w:bidi w:val="0"/>
              <w:jc w:val="both"/>
            </w:pP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小计</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人员经费</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公用经费</w:t>
            </w:r>
          </w:p>
        </w:tc>
        <w:tc>
          <w:tcPr>
            <w:tcW w:w="1698" w:type="dxa"/>
            <w:vMerge w:val="continue"/>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466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合计</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37,559,919.40</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29,245,276.51</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27,084,066.30</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2,161,210.21</w:t>
            </w:r>
          </w:p>
        </w:tc>
        <w:tc>
          <w:tcPr>
            <w:tcW w:w="169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8,314,642.89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205</w:t>
            </w:r>
          </w:p>
        </w:tc>
        <w:tc>
          <w:tcPr>
            <w:tcW w:w="34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教育支出</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37,559,919.40</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29,245,276.51</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27,084,066.30</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2,161,210.21</w:t>
            </w:r>
          </w:p>
        </w:tc>
        <w:tc>
          <w:tcPr>
            <w:tcW w:w="169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8,314,642.89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20502</w:t>
            </w:r>
          </w:p>
        </w:tc>
        <w:tc>
          <w:tcPr>
            <w:tcW w:w="34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普通教育</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37,559,919.40</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29,245,276.51</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27,084,066.30</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2,161,210.21</w:t>
            </w:r>
          </w:p>
        </w:tc>
        <w:tc>
          <w:tcPr>
            <w:tcW w:w="169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8,314,642.89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429" w:hRule="exact"/>
          <w:jc w:val="center"/>
        </w:trPr>
        <w:tc>
          <w:tcPr>
            <w:tcW w:w="11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2050202</w:t>
            </w:r>
          </w:p>
        </w:tc>
        <w:tc>
          <w:tcPr>
            <w:tcW w:w="34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小学教育</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37,559,919.40</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29,245,276.51</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27,084,066.30</w:t>
            </w:r>
          </w:p>
        </w:tc>
        <w:tc>
          <w:tcPr>
            <w:tcW w:w="17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2,161,210.21</w:t>
            </w:r>
          </w:p>
        </w:tc>
        <w:tc>
          <w:tcPr>
            <w:tcW w:w="169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8,314,642.89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0"/>
              </w:rPr>
              <w:t>注：本表反映本年度一般公共预算财政拨款支出情况。</w:t>
            </w:r>
          </w:p>
        </w:tc>
      </w:tr>
    </w:tbl>
    <w:p>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pageBreakBefore w:val="0"/>
              <w:kinsoku/>
              <w:wordWrap/>
              <w:overflowPunct/>
              <w:topLinePunct w:val="0"/>
              <w:autoSpaceDE/>
              <w:autoSpaceDN/>
              <w:bidi w:val="0"/>
              <w:jc w:val="both"/>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pageBreakBefore w:val="0"/>
              <w:kinsoku/>
              <w:wordWrap/>
              <w:overflowPunct/>
              <w:topLinePunct w:val="0"/>
              <w:autoSpaceDE/>
              <w:autoSpaceDN/>
              <w:bidi w:val="0"/>
              <w:jc w:val="both"/>
            </w:pPr>
            <w:r>
              <w:rPr>
                <w:rFonts w:ascii="宋体" w:hAnsi="宋体" w:eastAsia="宋体" w:cs="宋体"/>
                <w:sz w:val="20"/>
              </w:rPr>
              <w:t>单位：天津市西青区中北第二小学</w:t>
            </w:r>
          </w:p>
        </w:tc>
        <w:tc>
          <w:tcPr>
            <w:tcW w:w="2000" w:type="dxa"/>
          </w:tcPr>
          <w:p>
            <w:pPr>
              <w:pageBreakBefore w:val="0"/>
              <w:kinsoku/>
              <w:wordWrap/>
              <w:overflowPunct/>
              <w:topLinePunct w:val="0"/>
              <w:autoSpaceDE/>
              <w:autoSpaceDN/>
              <w:bidi w:val="0"/>
              <w:jc w:val="both"/>
            </w:pPr>
          </w:p>
        </w:tc>
        <w:tc>
          <w:tcPr>
            <w:tcW w:w="5619" w:type="dxa"/>
          </w:tcPr>
          <w:p>
            <w:pPr>
              <w:pageBreakBefore w:val="0"/>
              <w:kinsoku/>
              <w:wordWrap/>
              <w:overflowPunct/>
              <w:topLinePunct w:val="0"/>
              <w:autoSpaceDE/>
              <w:autoSpaceDN/>
              <w:bidi w:val="0"/>
              <w:jc w:val="both"/>
            </w:pPr>
            <w:r>
              <w:rPr>
                <w:rFonts w:ascii="宋体" w:hAnsi="宋体" w:eastAsia="宋体" w:cs="宋体"/>
                <w:sz w:val="20"/>
              </w:rPr>
              <w:t>单位：元</w:t>
            </w:r>
          </w:p>
        </w:tc>
      </w:tr>
    </w:tbl>
    <w:p>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4200" w:type="dxa"/>
            <w:gridSpan w:val="3"/>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人员经费</w:t>
            </w:r>
          </w:p>
        </w:tc>
        <w:tc>
          <w:tcPr>
            <w:tcW w:w="9038" w:type="dxa"/>
            <w:gridSpan w:val="6"/>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公用经费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科目编码</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科目名称</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金额</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科目编码</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科目名称</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金额</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科目编码</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科目名称</w:t>
            </w:r>
          </w:p>
        </w:tc>
        <w:tc>
          <w:tcPr>
            <w:tcW w:w="121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金额</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4"/>
              </w:rPr>
              <w:t>301</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4"/>
              </w:rPr>
              <w:t>工资福利支出</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26,520,746.00</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4"/>
              </w:rPr>
              <w:t>302</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4"/>
              </w:rPr>
              <w:t>商品和服务支出</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1,991,710.21</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30703</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国内债务发行费用</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30101</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基本工资</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4,438,243.70</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30201</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办公费</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198,309.68</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30704</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国外债务发行费用</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30102</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津贴补贴</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2,351,162.40</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30202</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印刷费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4"/>
              </w:rPr>
              <w:t>310</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4"/>
              </w:rPr>
              <w:t>资本性支出</w:t>
            </w:r>
          </w:p>
        </w:tc>
        <w:tc>
          <w:tcPr>
            <w:tcW w:w="121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169,500.00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30103</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奖金</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840,166.25</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30203</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咨询费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31001</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房屋建筑物购建</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30106</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伙食补助费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30204</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手续费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31002</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办公设备购置</w:t>
            </w:r>
          </w:p>
        </w:tc>
        <w:tc>
          <w:tcPr>
            <w:tcW w:w="121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120,672.00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30107</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绩效工资</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6,264,584.14</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30205</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水费</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86,413.50</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31003</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专用设备购置</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30108</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机关事业单位基本养老保险缴费</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1,826,506.02</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30206</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电费</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187,991.58</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31005</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基础设施建设</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30109</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职业年金缴费</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913,181.28</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30207</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邮电费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31006</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大型修缮</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30110</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职工基本医疗保险缴费</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1,108,331.46</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30208</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取暖费</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277,200.00</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31007</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信息网络及软件购置更新</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30111</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公务员医疗补助缴费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30209</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物业管理费</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471,827.49</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31008</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物资储备</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30112</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其他社会保障缴费</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282,010.41</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30211</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差旅费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31009</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土地补偿</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30113</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住房公积金</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6,071,582.00</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30212</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因公出国（境）费用</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31010</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安置补助</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30114</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医疗费</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72,535.00</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30213</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维修(护)费</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567,117.47</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31011</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地上附着物和青苗补偿</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30199</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其他工资福利支出</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2,352,443.34</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30214</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租赁费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31012</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拆迁补偿</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4"/>
              </w:rPr>
              <w:t>303</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4"/>
              </w:rPr>
              <w:t>对个人和家庭的补助</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563,320.30</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30215</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会议费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31013</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公务用车购置</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30301</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离休费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30216</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培训费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31019</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其他交通工具购置</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30302</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退休费</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371,700.30</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30217</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公务接待费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31021</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文物和陈列品购置</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30303</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退职（役）费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30218</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专用材料费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31022</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无形资产购置</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30304</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抚恤金</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30224</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被装购置费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31099</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其他资本性支出</w:t>
            </w:r>
          </w:p>
        </w:tc>
        <w:tc>
          <w:tcPr>
            <w:tcW w:w="121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48,828.00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30305</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生活补助</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30225</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专用燃料费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4"/>
              </w:rPr>
              <w:t>312</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4"/>
              </w:rPr>
              <w:t>对企业补助</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30306</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救济费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30226</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劳务费</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164,076.74</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31201</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资本金注入</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30307</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医疗费补助</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61,940.00</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30227</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委托业务费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31203</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政府投资基金股权投资</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30308</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助学金</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30228</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工会经费</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27,666.00</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31204</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费用补贴</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30309</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奖励金</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30229</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福利费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31205</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利息补贴</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30310</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个人农业生产补贴</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30231</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公务用车运行维护费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31206</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其他资本性补助</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30311</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代缴社会保险费</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30239</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其他交通费用</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2,907.75</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31299</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其他对企业补助</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30399</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其他对个人和家庭的补助</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129,680.00</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30240</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税金及附加费用</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4"/>
              </w:rPr>
              <w:t>399</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4"/>
              </w:rPr>
              <w:t>其他支出</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jc w:val="both"/>
            </w:pPr>
          </w:p>
        </w:tc>
        <w:tc>
          <w:tcPr>
            <w:tcW w:w="2340" w:type="dxa"/>
            <w:vAlign w:val="center"/>
          </w:tcPr>
          <w:p>
            <w:pPr>
              <w:pageBreakBefore w:val="0"/>
              <w:kinsoku/>
              <w:wordWrap/>
              <w:overflowPunct/>
              <w:topLinePunct w:val="0"/>
              <w:autoSpaceDE/>
              <w:autoSpaceDN/>
              <w:bidi w:val="0"/>
              <w:jc w:val="both"/>
            </w:pP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30299</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其他商品和服务支出</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8,200.00</w:t>
            </w: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39907</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国家赔偿费用支出</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jc w:val="both"/>
            </w:pPr>
          </w:p>
        </w:tc>
        <w:tc>
          <w:tcPr>
            <w:tcW w:w="2340" w:type="dxa"/>
            <w:vAlign w:val="center"/>
          </w:tcPr>
          <w:p>
            <w:pPr>
              <w:pageBreakBefore w:val="0"/>
              <w:kinsoku/>
              <w:wordWrap/>
              <w:overflowPunct/>
              <w:topLinePunct w:val="0"/>
              <w:autoSpaceDE/>
              <w:autoSpaceDN/>
              <w:bidi w:val="0"/>
              <w:jc w:val="both"/>
            </w:pP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4"/>
              </w:rPr>
              <w:t>307</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4"/>
              </w:rPr>
              <w:t>债务利息及费用支出</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39908</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对民间非营利组织和群众性自治组织补贴</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jc w:val="both"/>
            </w:pPr>
          </w:p>
        </w:tc>
        <w:tc>
          <w:tcPr>
            <w:tcW w:w="2340" w:type="dxa"/>
            <w:vAlign w:val="center"/>
          </w:tcPr>
          <w:p>
            <w:pPr>
              <w:pageBreakBefore w:val="0"/>
              <w:kinsoku/>
              <w:wordWrap/>
              <w:overflowPunct/>
              <w:topLinePunct w:val="0"/>
              <w:autoSpaceDE/>
              <w:autoSpaceDN/>
              <w:bidi w:val="0"/>
              <w:jc w:val="both"/>
            </w:pP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30701</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国内债务付息</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39909</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经常性赠与</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jc w:val="both"/>
            </w:pPr>
          </w:p>
        </w:tc>
        <w:tc>
          <w:tcPr>
            <w:tcW w:w="2340" w:type="dxa"/>
            <w:vAlign w:val="center"/>
          </w:tcPr>
          <w:p>
            <w:pPr>
              <w:pageBreakBefore w:val="0"/>
              <w:kinsoku/>
              <w:wordWrap/>
              <w:overflowPunct/>
              <w:topLinePunct w:val="0"/>
              <w:autoSpaceDE/>
              <w:autoSpaceDN/>
              <w:bidi w:val="0"/>
              <w:jc w:val="both"/>
            </w:pP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30702</w:t>
            </w:r>
          </w:p>
        </w:tc>
        <w:tc>
          <w:tcPr>
            <w:tcW w:w="2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国外债务付息</w:t>
            </w: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39910</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资本性赠与</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640" w:type="dxa"/>
            <w:vAlign w:val="center"/>
          </w:tcPr>
          <w:p>
            <w:pPr>
              <w:pageBreakBefore w:val="0"/>
              <w:kinsoku/>
              <w:wordWrap/>
              <w:overflowPunct/>
              <w:topLinePunct w:val="0"/>
              <w:autoSpaceDE/>
              <w:autoSpaceDN/>
              <w:bidi w:val="0"/>
              <w:jc w:val="both"/>
            </w:pPr>
          </w:p>
        </w:tc>
        <w:tc>
          <w:tcPr>
            <w:tcW w:w="2340" w:type="dxa"/>
            <w:vAlign w:val="center"/>
          </w:tcPr>
          <w:p>
            <w:pPr>
              <w:pageBreakBefore w:val="0"/>
              <w:kinsoku/>
              <w:wordWrap/>
              <w:overflowPunct/>
              <w:topLinePunct w:val="0"/>
              <w:autoSpaceDE/>
              <w:autoSpaceDN/>
              <w:bidi w:val="0"/>
              <w:jc w:val="both"/>
            </w:pP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jc w:val="both"/>
            </w:pPr>
          </w:p>
        </w:tc>
        <w:tc>
          <w:tcPr>
            <w:tcW w:w="2340" w:type="dxa"/>
            <w:vAlign w:val="center"/>
          </w:tcPr>
          <w:p>
            <w:pPr>
              <w:pageBreakBefore w:val="0"/>
              <w:kinsoku/>
              <w:wordWrap/>
              <w:overflowPunct/>
              <w:topLinePunct w:val="0"/>
              <w:autoSpaceDE/>
              <w:autoSpaceDN/>
              <w:bidi w:val="0"/>
              <w:jc w:val="both"/>
            </w:pPr>
          </w:p>
        </w:tc>
        <w:tc>
          <w:tcPr>
            <w:tcW w:w="1220" w:type="dxa"/>
            <w:vAlign w:val="center"/>
          </w:tcPr>
          <w:p>
            <w:pPr>
              <w:pageBreakBefore w:val="0"/>
              <w:kinsoku/>
              <w:wordWrap/>
              <w:overflowPunct/>
              <w:topLinePunct w:val="0"/>
              <w:autoSpaceDE/>
              <w:autoSpaceDN/>
              <w:bidi w:val="0"/>
              <w:jc w:val="both"/>
            </w:pPr>
          </w:p>
        </w:tc>
        <w:tc>
          <w:tcPr>
            <w:tcW w:w="6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39999</w:t>
            </w:r>
          </w:p>
        </w:tc>
        <w:tc>
          <w:tcPr>
            <w:tcW w:w="29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 xml:space="preserve">  其他支出</w:t>
            </w:r>
          </w:p>
        </w:tc>
        <w:tc>
          <w:tcPr>
            <w:tcW w:w="1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79" w:hRule="exact"/>
          <w:jc w:val="center"/>
        </w:trPr>
        <w:tc>
          <w:tcPr>
            <w:tcW w:w="298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4"/>
              </w:rPr>
              <w:t>人员经费合计</w:t>
            </w:r>
          </w:p>
        </w:tc>
        <w:tc>
          <w:tcPr>
            <w:tcW w:w="1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27,084,066.30</w:t>
            </w:r>
          </w:p>
        </w:tc>
        <w:tc>
          <w:tcPr>
            <w:tcW w:w="7820" w:type="dxa"/>
            <w:gridSpan w:val="5"/>
            <w:vAlign w:val="center"/>
          </w:tcPr>
          <w:p>
            <w:pPr>
              <w:pageBreakBefore w:val="0"/>
              <w:kinsoku/>
              <w:wordWrap/>
              <w:overflowPunct/>
              <w:topLinePunct w:val="0"/>
              <w:autoSpaceDE/>
              <w:autoSpaceDN/>
              <w:bidi w:val="0"/>
              <w:snapToGrid w:val="0"/>
              <w:jc w:val="both"/>
            </w:pPr>
            <w:r>
              <w:rPr>
                <w:rFonts w:ascii="宋体" w:hAnsi="宋体" w:eastAsia="宋体" w:cs="宋体"/>
                <w:b/>
                <w:i w:val="0"/>
                <w:color w:val="000000"/>
                <w:sz w:val="14"/>
              </w:rPr>
              <w:t>公用经费合计</w:t>
            </w:r>
          </w:p>
        </w:tc>
        <w:tc>
          <w:tcPr>
            <w:tcW w:w="1218"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2,161,210.21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4"/>
              </w:rPr>
              <w:t>注：本表反映本年度一般公共预算财政拨款基本支出明细情况。</w:t>
            </w:r>
          </w:p>
        </w:tc>
      </w:tr>
    </w:tbl>
    <w:p>
      <w:pPr>
        <w:pStyle w:val="6"/>
        <w:pageBreakBefore w:val="0"/>
        <w:kinsoku/>
        <w:wordWrap/>
        <w:overflowPunct/>
        <w:topLinePunct w:val="0"/>
        <w:autoSpaceDE/>
        <w:autoSpaceDN/>
        <w:bidi w:val="0"/>
        <w:snapToGrid/>
        <w:spacing w:before="0" w:after="0" w:line="800" w:lineRule="exact"/>
        <w:ind w:firstLine="643" w:firstLineChars="200"/>
        <w:jc w:val="both"/>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2050619938"/>
      <w:bookmarkStart w:id="23" w:name="_Toc1972277765"/>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pageBreakBefore w:val="0"/>
              <w:kinsoku/>
              <w:wordWrap/>
              <w:overflowPunct/>
              <w:topLinePunct w:val="0"/>
              <w:autoSpaceDE/>
              <w:autoSpaceDN/>
              <w:bidi w:val="0"/>
              <w:jc w:val="both"/>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pageBreakBefore w:val="0"/>
              <w:kinsoku/>
              <w:wordWrap/>
              <w:overflowPunct/>
              <w:topLinePunct w:val="0"/>
              <w:autoSpaceDE/>
              <w:autoSpaceDN/>
              <w:bidi w:val="0"/>
              <w:jc w:val="both"/>
            </w:pPr>
            <w:r>
              <w:rPr>
                <w:rFonts w:ascii="宋体" w:hAnsi="宋体" w:eastAsia="宋体" w:cs="宋体"/>
                <w:sz w:val="20"/>
              </w:rPr>
              <w:t>单位：天津市西青区中北第二小学</w:t>
            </w:r>
          </w:p>
        </w:tc>
        <w:tc>
          <w:tcPr>
            <w:tcW w:w="2000" w:type="dxa"/>
          </w:tcPr>
          <w:p>
            <w:pPr>
              <w:pageBreakBefore w:val="0"/>
              <w:kinsoku/>
              <w:wordWrap/>
              <w:overflowPunct/>
              <w:topLinePunct w:val="0"/>
              <w:autoSpaceDE/>
              <w:autoSpaceDN/>
              <w:bidi w:val="0"/>
              <w:jc w:val="both"/>
            </w:pPr>
          </w:p>
        </w:tc>
        <w:tc>
          <w:tcPr>
            <w:tcW w:w="5619" w:type="dxa"/>
          </w:tcPr>
          <w:p>
            <w:pPr>
              <w:pageBreakBefore w:val="0"/>
              <w:kinsoku/>
              <w:wordWrap/>
              <w:overflowPunct/>
              <w:topLinePunct w:val="0"/>
              <w:autoSpaceDE/>
              <w:autoSpaceDN/>
              <w:bidi w:val="0"/>
              <w:jc w:val="both"/>
            </w:pPr>
            <w:r>
              <w:rPr>
                <w:rFonts w:ascii="宋体" w:hAnsi="宋体" w:eastAsia="宋体" w:cs="宋体"/>
                <w:sz w:val="20"/>
              </w:rPr>
              <w:t>单位：元</w:t>
            </w:r>
          </w:p>
        </w:tc>
      </w:tr>
    </w:tbl>
    <w:p>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支出功能分类科目</w:t>
            </w:r>
          </w:p>
        </w:tc>
        <w:tc>
          <w:tcPr>
            <w:tcW w:w="152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年初结转和结余</w:t>
            </w:r>
          </w:p>
        </w:tc>
        <w:tc>
          <w:tcPr>
            <w:tcW w:w="152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本年收入</w:t>
            </w:r>
          </w:p>
        </w:tc>
        <w:tc>
          <w:tcPr>
            <w:tcW w:w="4560" w:type="dxa"/>
            <w:gridSpan w:val="3"/>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本年支出</w:t>
            </w:r>
          </w:p>
        </w:tc>
        <w:tc>
          <w:tcPr>
            <w:tcW w:w="1518"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7" w:hRule="exact"/>
          <w:jc w:val="center"/>
        </w:trPr>
        <w:tc>
          <w:tcPr>
            <w:tcW w:w="10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科目编码</w:t>
            </w:r>
          </w:p>
        </w:tc>
        <w:tc>
          <w:tcPr>
            <w:tcW w:w="30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科目名称</w:t>
            </w:r>
          </w:p>
        </w:tc>
        <w:tc>
          <w:tcPr>
            <w:tcW w:w="1520" w:type="dxa"/>
            <w:vMerge w:val="continue"/>
            <w:vAlign w:val="center"/>
          </w:tcPr>
          <w:p>
            <w:pPr>
              <w:pageBreakBefore w:val="0"/>
              <w:kinsoku/>
              <w:wordWrap/>
              <w:overflowPunct/>
              <w:topLinePunct w:val="0"/>
              <w:autoSpaceDE/>
              <w:autoSpaceDN/>
              <w:bidi w:val="0"/>
              <w:jc w:val="both"/>
            </w:pPr>
          </w:p>
        </w:tc>
        <w:tc>
          <w:tcPr>
            <w:tcW w:w="1520" w:type="dxa"/>
            <w:vMerge w:val="continue"/>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小计</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 xml:space="preserve">基本支出  </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项目支出</w:t>
            </w:r>
          </w:p>
        </w:tc>
        <w:tc>
          <w:tcPr>
            <w:tcW w:w="1518" w:type="dxa"/>
            <w:vMerge w:val="continue"/>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合计</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pageBreakBefore w:val="0"/>
              <w:kinsoku/>
              <w:wordWrap/>
              <w:overflowPunct/>
              <w:topLinePunct w:val="0"/>
              <w:autoSpaceDE/>
              <w:autoSpaceDN/>
              <w:bidi w:val="0"/>
              <w:jc w:val="both"/>
            </w:pPr>
          </w:p>
        </w:tc>
        <w:tc>
          <w:tcPr>
            <w:tcW w:w="308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注：本表反映本年度政府性基金预算财政拨款收入、支出及结转和结余情况。</w:t>
            </w:r>
          </w:p>
        </w:tc>
      </w:tr>
    </w:tbl>
    <w:p>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both"/>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天津市西青区中北第二小学2024年度政府性基金预算财政拨款收入支出决算表为空表。</w:t>
      </w:r>
      <w:bookmarkStart w:id="25" w:name="_Toc1951730910"/>
      <w:bookmarkStart w:id="26" w:name="_Toc816430520"/>
      <w:bookmarkStart w:id="27" w:name="_Toc1317004554"/>
      <w:bookmarkStart w:id="28" w:name="_Toc1662304910"/>
    </w:p>
    <w:p>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pageBreakBefore w:val="0"/>
              <w:kinsoku/>
              <w:wordWrap/>
              <w:overflowPunct/>
              <w:topLinePunct w:val="0"/>
              <w:autoSpaceDE/>
              <w:autoSpaceDN/>
              <w:bidi w:val="0"/>
              <w:jc w:val="both"/>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pageBreakBefore w:val="0"/>
              <w:kinsoku/>
              <w:wordWrap/>
              <w:overflowPunct/>
              <w:topLinePunct w:val="0"/>
              <w:autoSpaceDE/>
              <w:autoSpaceDN/>
              <w:bidi w:val="0"/>
              <w:jc w:val="both"/>
            </w:pPr>
            <w:r>
              <w:rPr>
                <w:rFonts w:ascii="宋体" w:hAnsi="宋体" w:eastAsia="宋体" w:cs="宋体"/>
                <w:sz w:val="20"/>
              </w:rPr>
              <w:t>单位：天津市西青区中北第二小学</w:t>
            </w:r>
          </w:p>
        </w:tc>
        <w:tc>
          <w:tcPr>
            <w:tcW w:w="2000" w:type="dxa"/>
          </w:tcPr>
          <w:p>
            <w:pPr>
              <w:pageBreakBefore w:val="0"/>
              <w:kinsoku/>
              <w:wordWrap/>
              <w:overflowPunct/>
              <w:topLinePunct w:val="0"/>
              <w:autoSpaceDE/>
              <w:autoSpaceDN/>
              <w:bidi w:val="0"/>
              <w:jc w:val="both"/>
            </w:pPr>
          </w:p>
        </w:tc>
        <w:tc>
          <w:tcPr>
            <w:tcW w:w="5619" w:type="dxa"/>
          </w:tcPr>
          <w:p>
            <w:pPr>
              <w:pageBreakBefore w:val="0"/>
              <w:kinsoku/>
              <w:wordWrap/>
              <w:overflowPunct/>
              <w:topLinePunct w:val="0"/>
              <w:autoSpaceDE/>
              <w:autoSpaceDN/>
              <w:bidi w:val="0"/>
              <w:jc w:val="both"/>
            </w:pPr>
            <w:r>
              <w:rPr>
                <w:rFonts w:ascii="宋体" w:hAnsi="宋体" w:eastAsia="宋体" w:cs="宋体"/>
                <w:sz w:val="20"/>
              </w:rPr>
              <w:t>单位：元</w:t>
            </w:r>
          </w:p>
        </w:tc>
      </w:tr>
    </w:tbl>
    <w:p>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支出功能分类科目</w:t>
            </w:r>
          </w:p>
        </w:tc>
        <w:tc>
          <w:tcPr>
            <w:tcW w:w="152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年初结转和结余</w:t>
            </w:r>
          </w:p>
        </w:tc>
        <w:tc>
          <w:tcPr>
            <w:tcW w:w="152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本年收入</w:t>
            </w:r>
          </w:p>
        </w:tc>
        <w:tc>
          <w:tcPr>
            <w:tcW w:w="4560" w:type="dxa"/>
            <w:gridSpan w:val="3"/>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本年支出</w:t>
            </w:r>
          </w:p>
        </w:tc>
        <w:tc>
          <w:tcPr>
            <w:tcW w:w="1518"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年末结转和结余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97" w:hRule="exact"/>
          <w:jc w:val="center"/>
        </w:trPr>
        <w:tc>
          <w:tcPr>
            <w:tcW w:w="10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科目编码</w:t>
            </w:r>
          </w:p>
        </w:tc>
        <w:tc>
          <w:tcPr>
            <w:tcW w:w="308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科目名称</w:t>
            </w:r>
          </w:p>
        </w:tc>
        <w:tc>
          <w:tcPr>
            <w:tcW w:w="1520" w:type="dxa"/>
            <w:vMerge w:val="continue"/>
            <w:vAlign w:val="center"/>
          </w:tcPr>
          <w:p>
            <w:pPr>
              <w:pageBreakBefore w:val="0"/>
              <w:kinsoku/>
              <w:wordWrap/>
              <w:overflowPunct/>
              <w:topLinePunct w:val="0"/>
              <w:autoSpaceDE/>
              <w:autoSpaceDN/>
              <w:bidi w:val="0"/>
              <w:jc w:val="both"/>
            </w:pPr>
          </w:p>
        </w:tc>
        <w:tc>
          <w:tcPr>
            <w:tcW w:w="1520" w:type="dxa"/>
            <w:vMerge w:val="continue"/>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合计</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 xml:space="preserve">基本支出  </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项目支出</w:t>
            </w:r>
          </w:p>
        </w:tc>
        <w:tc>
          <w:tcPr>
            <w:tcW w:w="1518" w:type="dxa"/>
            <w:vMerge w:val="continue"/>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412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合计</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0" w:hRule="exact"/>
          <w:jc w:val="center"/>
        </w:trPr>
        <w:tc>
          <w:tcPr>
            <w:tcW w:w="1040" w:type="dxa"/>
            <w:vAlign w:val="center"/>
          </w:tcPr>
          <w:p>
            <w:pPr>
              <w:pageBreakBefore w:val="0"/>
              <w:kinsoku/>
              <w:wordWrap/>
              <w:overflowPunct/>
              <w:topLinePunct w:val="0"/>
              <w:autoSpaceDE/>
              <w:autoSpaceDN/>
              <w:bidi w:val="0"/>
              <w:jc w:val="both"/>
            </w:pPr>
          </w:p>
        </w:tc>
        <w:tc>
          <w:tcPr>
            <w:tcW w:w="308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注：本表反映本年度国有资本经营预算财政拨款收入、支出及结转和结余情况。</w:t>
            </w:r>
          </w:p>
        </w:tc>
      </w:tr>
    </w:tbl>
    <w:p>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both"/>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天津市西青区中北第二小学2024年国有资本经营预算财政拨款收入支出决算表为空表。</w:t>
      </w:r>
      <w:bookmarkStart w:id="29" w:name="_Toc1474728957"/>
      <w:bookmarkStart w:id="30" w:name="_Toc1743858547"/>
      <w:bookmarkStart w:id="31" w:name="_Toc2076180092"/>
      <w:bookmarkStart w:id="32" w:name="_Toc781589449"/>
    </w:p>
    <w:p>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pageBreakBefore w:val="0"/>
              <w:kinsoku/>
              <w:wordWrap/>
              <w:overflowPunct/>
              <w:topLinePunct w:val="0"/>
              <w:autoSpaceDE/>
              <w:autoSpaceDN/>
              <w:bidi w:val="0"/>
              <w:jc w:val="both"/>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pageBreakBefore w:val="0"/>
              <w:kinsoku/>
              <w:wordWrap/>
              <w:overflowPunct/>
              <w:topLinePunct w:val="0"/>
              <w:autoSpaceDE/>
              <w:autoSpaceDN/>
              <w:bidi w:val="0"/>
              <w:jc w:val="both"/>
            </w:pPr>
            <w:r>
              <w:rPr>
                <w:rFonts w:ascii="宋体" w:hAnsi="宋体" w:eastAsia="宋体" w:cs="宋体"/>
                <w:sz w:val="20"/>
              </w:rPr>
              <w:t>单位：天津市西青区中北第二小学</w:t>
            </w:r>
          </w:p>
        </w:tc>
        <w:tc>
          <w:tcPr>
            <w:tcW w:w="2000" w:type="dxa"/>
          </w:tcPr>
          <w:p>
            <w:pPr>
              <w:pageBreakBefore w:val="0"/>
              <w:kinsoku/>
              <w:wordWrap/>
              <w:overflowPunct/>
              <w:topLinePunct w:val="0"/>
              <w:autoSpaceDE/>
              <w:autoSpaceDN/>
              <w:bidi w:val="0"/>
              <w:jc w:val="both"/>
            </w:pPr>
          </w:p>
        </w:tc>
        <w:tc>
          <w:tcPr>
            <w:tcW w:w="5619" w:type="dxa"/>
          </w:tcPr>
          <w:p>
            <w:pPr>
              <w:pageBreakBefore w:val="0"/>
              <w:kinsoku/>
              <w:wordWrap/>
              <w:overflowPunct/>
              <w:topLinePunct w:val="0"/>
              <w:autoSpaceDE/>
              <w:autoSpaceDN/>
              <w:bidi w:val="0"/>
              <w:jc w:val="both"/>
            </w:pPr>
            <w:r>
              <w:rPr>
                <w:rFonts w:ascii="宋体" w:hAnsi="宋体" w:eastAsia="宋体" w:cs="宋体"/>
                <w:sz w:val="20"/>
              </w:rPr>
              <w:t>单位：元</w:t>
            </w:r>
          </w:p>
        </w:tc>
      </w:tr>
    </w:tbl>
    <w:p>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09" w:hRule="exact"/>
          <w:jc w:val="center"/>
        </w:trPr>
        <w:tc>
          <w:tcPr>
            <w:tcW w:w="220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4"/>
              </w:rPr>
              <w:t>合计</w:t>
            </w:r>
          </w:p>
        </w:tc>
        <w:tc>
          <w:tcPr>
            <w:tcW w:w="220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4"/>
              </w:rPr>
              <w:t>因公出国（境）费</w:t>
            </w:r>
          </w:p>
        </w:tc>
        <w:tc>
          <w:tcPr>
            <w:tcW w:w="6620" w:type="dxa"/>
            <w:gridSpan w:val="3"/>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4"/>
              </w:rPr>
              <w:t>公务用车购置及运行维护费</w:t>
            </w:r>
          </w:p>
        </w:tc>
        <w:tc>
          <w:tcPr>
            <w:tcW w:w="2218"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4"/>
              </w:rPr>
              <w:t>公务接待费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1034" w:hRule="exact"/>
          <w:jc w:val="center"/>
        </w:trPr>
        <w:tc>
          <w:tcPr>
            <w:tcW w:w="2200" w:type="dxa"/>
            <w:vMerge w:val="continue"/>
            <w:vAlign w:val="center"/>
          </w:tcPr>
          <w:p>
            <w:pPr>
              <w:pageBreakBefore w:val="0"/>
              <w:kinsoku/>
              <w:wordWrap/>
              <w:overflowPunct/>
              <w:topLinePunct w:val="0"/>
              <w:autoSpaceDE/>
              <w:autoSpaceDN/>
              <w:bidi w:val="0"/>
              <w:jc w:val="both"/>
            </w:pPr>
          </w:p>
        </w:tc>
        <w:tc>
          <w:tcPr>
            <w:tcW w:w="2200" w:type="dxa"/>
            <w:vMerge w:val="continue"/>
            <w:vAlign w:val="center"/>
          </w:tcPr>
          <w:p>
            <w:pPr>
              <w:pageBreakBefore w:val="0"/>
              <w:kinsoku/>
              <w:wordWrap/>
              <w:overflowPunct/>
              <w:topLinePunct w:val="0"/>
              <w:autoSpaceDE/>
              <w:autoSpaceDN/>
              <w:bidi w:val="0"/>
              <w:jc w:val="both"/>
            </w:pPr>
          </w:p>
        </w:tc>
        <w:tc>
          <w:tcPr>
            <w:tcW w:w="220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4"/>
              </w:rPr>
              <w:t>小计</w:t>
            </w:r>
          </w:p>
        </w:tc>
        <w:tc>
          <w:tcPr>
            <w:tcW w:w="220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4"/>
              </w:rPr>
              <w:t>公务用车购置费</w:t>
            </w:r>
          </w:p>
        </w:tc>
        <w:tc>
          <w:tcPr>
            <w:tcW w:w="22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4"/>
              </w:rPr>
              <w:t>公务用车运行维护费</w:t>
            </w:r>
          </w:p>
        </w:tc>
        <w:tc>
          <w:tcPr>
            <w:tcW w:w="2218" w:type="dxa"/>
            <w:vMerge w:val="continue"/>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34" w:hRule="exact"/>
          <w:jc w:val="center"/>
        </w:trPr>
        <w:tc>
          <w:tcPr>
            <w:tcW w:w="2200" w:type="dxa"/>
            <w:vAlign w:val="center"/>
          </w:tcPr>
          <w:p>
            <w:pPr>
              <w:pageBreakBefore w:val="0"/>
              <w:kinsoku/>
              <w:wordWrap/>
              <w:overflowPunct/>
              <w:topLinePunct w:val="0"/>
              <w:autoSpaceDE/>
              <w:autoSpaceDN/>
              <w:bidi w:val="0"/>
              <w:jc w:val="both"/>
            </w:pPr>
          </w:p>
        </w:tc>
        <w:tc>
          <w:tcPr>
            <w:tcW w:w="2200" w:type="dxa"/>
            <w:vAlign w:val="center"/>
          </w:tcPr>
          <w:p>
            <w:pPr>
              <w:pageBreakBefore w:val="0"/>
              <w:kinsoku/>
              <w:wordWrap/>
              <w:overflowPunct/>
              <w:topLinePunct w:val="0"/>
              <w:autoSpaceDE/>
              <w:autoSpaceDN/>
              <w:bidi w:val="0"/>
              <w:jc w:val="both"/>
            </w:pPr>
          </w:p>
        </w:tc>
        <w:tc>
          <w:tcPr>
            <w:tcW w:w="2200" w:type="dxa"/>
            <w:vAlign w:val="center"/>
          </w:tcPr>
          <w:p>
            <w:pPr>
              <w:pageBreakBefore w:val="0"/>
              <w:kinsoku/>
              <w:wordWrap/>
              <w:overflowPunct/>
              <w:topLinePunct w:val="0"/>
              <w:autoSpaceDE/>
              <w:autoSpaceDN/>
              <w:bidi w:val="0"/>
              <w:jc w:val="both"/>
            </w:pPr>
          </w:p>
        </w:tc>
        <w:tc>
          <w:tcPr>
            <w:tcW w:w="2200" w:type="dxa"/>
            <w:vAlign w:val="center"/>
          </w:tcPr>
          <w:p>
            <w:pPr>
              <w:pageBreakBefore w:val="0"/>
              <w:kinsoku/>
              <w:wordWrap/>
              <w:overflowPunct/>
              <w:topLinePunct w:val="0"/>
              <w:autoSpaceDE/>
              <w:autoSpaceDN/>
              <w:bidi w:val="0"/>
              <w:jc w:val="both"/>
            </w:pPr>
          </w:p>
        </w:tc>
        <w:tc>
          <w:tcPr>
            <w:tcW w:w="2220" w:type="dxa"/>
            <w:vAlign w:val="center"/>
          </w:tcPr>
          <w:p>
            <w:pPr>
              <w:pageBreakBefore w:val="0"/>
              <w:kinsoku/>
              <w:wordWrap/>
              <w:overflowPunct/>
              <w:topLinePunct w:val="0"/>
              <w:autoSpaceDE/>
              <w:autoSpaceDN/>
              <w:bidi w:val="0"/>
              <w:jc w:val="both"/>
            </w:pPr>
          </w:p>
        </w:tc>
        <w:tc>
          <w:tcPr>
            <w:tcW w:w="221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both"/>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天津市西青区中北第二小学2024年财政拨款“三公”经费支出决算表为空表。</w:t>
      </w:r>
    </w:p>
    <w:p>
      <w:pPr>
        <w:pStyle w:val="6"/>
        <w:pageBreakBefore w:val="0"/>
        <w:kinsoku/>
        <w:wordWrap/>
        <w:overflowPunct/>
        <w:topLinePunct w:val="0"/>
        <w:autoSpaceDE/>
        <w:autoSpaceDN/>
        <w:bidi w:val="0"/>
        <w:snapToGrid/>
        <w:spacing w:before="0" w:after="0" w:line="800" w:lineRule="exact"/>
        <w:jc w:val="both"/>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pPr>
        <w:pStyle w:val="6"/>
        <w:pageBreakBefore w:val="0"/>
        <w:kinsoku/>
        <w:wordWrap/>
        <w:overflowPunct/>
        <w:topLinePunct w:val="0"/>
        <w:autoSpaceDE/>
        <w:autoSpaceDN/>
        <w:bidi w:val="0"/>
        <w:snapToGrid/>
        <w:spacing w:before="0" w:after="0" w:line="800" w:lineRule="exact"/>
        <w:ind w:firstLine="602" w:firstLineChars="200"/>
        <w:jc w:val="both"/>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13238" w:type="dxa"/>
        <w:jc w:val="center"/>
        <w:tblInd w:w="0" w:type="dxa"/>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13238" w:type="dxa"/>
            <w:gridSpan w:val="3"/>
          </w:tcPr>
          <w:p>
            <w:pPr>
              <w:pageBreakBefore w:val="0"/>
              <w:kinsoku/>
              <w:wordWrap/>
              <w:overflowPunct/>
              <w:topLinePunct w:val="0"/>
              <w:autoSpaceDE/>
              <w:autoSpaceDN/>
              <w:bidi w:val="0"/>
              <w:jc w:val="both"/>
            </w:pP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Ex>
        <w:trPr>
          <w:trHeight w:val="0" w:hRule="atLeast"/>
          <w:jc w:val="center"/>
        </w:trPr>
        <w:tc>
          <w:tcPr>
            <w:tcW w:w="5619" w:type="dxa"/>
          </w:tcPr>
          <w:p>
            <w:pPr>
              <w:pageBreakBefore w:val="0"/>
              <w:kinsoku/>
              <w:wordWrap/>
              <w:overflowPunct/>
              <w:topLinePunct w:val="0"/>
              <w:autoSpaceDE/>
              <w:autoSpaceDN/>
              <w:bidi w:val="0"/>
              <w:jc w:val="both"/>
            </w:pPr>
            <w:r>
              <w:rPr>
                <w:rFonts w:ascii="宋体" w:hAnsi="宋体" w:eastAsia="宋体" w:cs="宋体"/>
                <w:sz w:val="20"/>
              </w:rPr>
              <w:t>单位：天津市西青区中北第二小学</w:t>
            </w:r>
          </w:p>
        </w:tc>
        <w:tc>
          <w:tcPr>
            <w:tcW w:w="2000" w:type="dxa"/>
          </w:tcPr>
          <w:p>
            <w:pPr>
              <w:pageBreakBefore w:val="0"/>
              <w:kinsoku/>
              <w:wordWrap/>
              <w:overflowPunct/>
              <w:topLinePunct w:val="0"/>
              <w:autoSpaceDE/>
              <w:autoSpaceDN/>
              <w:bidi w:val="0"/>
              <w:jc w:val="both"/>
            </w:pPr>
          </w:p>
        </w:tc>
        <w:tc>
          <w:tcPr>
            <w:tcW w:w="5619" w:type="dxa"/>
          </w:tcPr>
          <w:p>
            <w:pPr>
              <w:pageBreakBefore w:val="0"/>
              <w:kinsoku/>
              <w:wordWrap/>
              <w:overflowPunct/>
              <w:topLinePunct w:val="0"/>
              <w:autoSpaceDE/>
              <w:autoSpaceDN/>
              <w:bidi w:val="0"/>
              <w:jc w:val="both"/>
            </w:pPr>
            <w:r>
              <w:rPr>
                <w:rFonts w:ascii="宋体" w:hAnsi="宋体" w:eastAsia="宋体" w:cs="宋体"/>
                <w:sz w:val="20"/>
              </w:rPr>
              <w:t>单位：元</w:t>
            </w:r>
          </w:p>
        </w:tc>
      </w:tr>
    </w:tbl>
    <w:p>
      <w:pPr>
        <w:pageBreakBefore w:val="0"/>
        <w:kinsoku/>
        <w:wordWrap/>
        <w:overflowPunct/>
        <w:topLinePunct w:val="0"/>
        <w:autoSpaceDE/>
        <w:autoSpaceDN/>
        <w:bidi w:val="0"/>
        <w:snapToGrid w:val="0"/>
        <w:spacing w:before="0" w:after="0" w:line="0" w:lineRule="auto"/>
        <w:jc w:val="both"/>
      </w:pPr>
      <w:r>
        <w:rPr>
          <w:sz w:val="8"/>
        </w:rPr>
        <w:t xml:space="preserve"> </w:t>
      </w:r>
    </w:p>
    <w:tbl>
      <w:tblPr>
        <w:tblStyle w:val="2"/>
        <w:tblW w:w="13238"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418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项目</w:t>
            </w:r>
          </w:p>
        </w:tc>
        <w:tc>
          <w:tcPr>
            <w:tcW w:w="9058" w:type="dxa"/>
            <w:gridSpan w:val="6"/>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本年支出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科目编码</w:t>
            </w:r>
          </w:p>
        </w:tc>
        <w:tc>
          <w:tcPr>
            <w:tcW w:w="334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科目名称（二级项目名称）</w:t>
            </w:r>
          </w:p>
        </w:tc>
        <w:tc>
          <w:tcPr>
            <w:tcW w:w="142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合计</w:t>
            </w:r>
          </w:p>
        </w:tc>
        <w:tc>
          <w:tcPr>
            <w:tcW w:w="152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一般公共预算</w:t>
            </w:r>
          </w:p>
        </w:tc>
        <w:tc>
          <w:tcPr>
            <w:tcW w:w="152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政府性基金预算</w:t>
            </w:r>
          </w:p>
        </w:tc>
        <w:tc>
          <w:tcPr>
            <w:tcW w:w="152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国有资本经营预算</w:t>
            </w:r>
          </w:p>
        </w:tc>
        <w:tc>
          <w:tcPr>
            <w:tcW w:w="1520"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财政专户管理资金</w:t>
            </w:r>
          </w:p>
        </w:tc>
        <w:tc>
          <w:tcPr>
            <w:tcW w:w="1558" w:type="dxa"/>
            <w:vMerge w:val="restart"/>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单位资金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continue"/>
            <w:vAlign w:val="center"/>
          </w:tcPr>
          <w:p>
            <w:pPr>
              <w:pageBreakBefore w:val="0"/>
              <w:kinsoku/>
              <w:wordWrap/>
              <w:overflowPunct/>
              <w:topLinePunct w:val="0"/>
              <w:autoSpaceDE/>
              <w:autoSpaceDN/>
              <w:bidi w:val="0"/>
              <w:jc w:val="both"/>
            </w:pPr>
          </w:p>
        </w:tc>
        <w:tc>
          <w:tcPr>
            <w:tcW w:w="3340" w:type="dxa"/>
            <w:vMerge w:val="continue"/>
            <w:vAlign w:val="center"/>
          </w:tcPr>
          <w:p>
            <w:pPr>
              <w:pageBreakBefore w:val="0"/>
              <w:kinsoku/>
              <w:wordWrap/>
              <w:overflowPunct/>
              <w:topLinePunct w:val="0"/>
              <w:autoSpaceDE/>
              <w:autoSpaceDN/>
              <w:bidi w:val="0"/>
              <w:jc w:val="both"/>
            </w:pPr>
          </w:p>
        </w:tc>
        <w:tc>
          <w:tcPr>
            <w:tcW w:w="1420" w:type="dxa"/>
            <w:vMerge w:val="continue"/>
            <w:vAlign w:val="center"/>
          </w:tcPr>
          <w:p>
            <w:pPr>
              <w:pageBreakBefore w:val="0"/>
              <w:kinsoku/>
              <w:wordWrap/>
              <w:overflowPunct/>
              <w:topLinePunct w:val="0"/>
              <w:autoSpaceDE/>
              <w:autoSpaceDN/>
              <w:bidi w:val="0"/>
              <w:jc w:val="both"/>
            </w:pPr>
          </w:p>
        </w:tc>
        <w:tc>
          <w:tcPr>
            <w:tcW w:w="1520" w:type="dxa"/>
            <w:vMerge w:val="continue"/>
            <w:vAlign w:val="center"/>
          </w:tcPr>
          <w:p>
            <w:pPr>
              <w:pageBreakBefore w:val="0"/>
              <w:kinsoku/>
              <w:wordWrap/>
              <w:overflowPunct/>
              <w:topLinePunct w:val="0"/>
              <w:autoSpaceDE/>
              <w:autoSpaceDN/>
              <w:bidi w:val="0"/>
              <w:jc w:val="both"/>
            </w:pPr>
          </w:p>
        </w:tc>
        <w:tc>
          <w:tcPr>
            <w:tcW w:w="1520" w:type="dxa"/>
            <w:vMerge w:val="continue"/>
            <w:vAlign w:val="center"/>
          </w:tcPr>
          <w:p>
            <w:pPr>
              <w:pageBreakBefore w:val="0"/>
              <w:kinsoku/>
              <w:wordWrap/>
              <w:overflowPunct/>
              <w:topLinePunct w:val="0"/>
              <w:autoSpaceDE/>
              <w:autoSpaceDN/>
              <w:bidi w:val="0"/>
              <w:jc w:val="both"/>
            </w:pPr>
          </w:p>
        </w:tc>
        <w:tc>
          <w:tcPr>
            <w:tcW w:w="1520" w:type="dxa"/>
            <w:vMerge w:val="continue"/>
            <w:vAlign w:val="center"/>
          </w:tcPr>
          <w:p>
            <w:pPr>
              <w:pageBreakBefore w:val="0"/>
              <w:kinsoku/>
              <w:wordWrap/>
              <w:overflowPunct/>
              <w:topLinePunct w:val="0"/>
              <w:autoSpaceDE/>
              <w:autoSpaceDN/>
              <w:bidi w:val="0"/>
              <w:jc w:val="both"/>
            </w:pPr>
          </w:p>
        </w:tc>
        <w:tc>
          <w:tcPr>
            <w:tcW w:w="1520" w:type="dxa"/>
            <w:vMerge w:val="continue"/>
            <w:vAlign w:val="center"/>
          </w:tcPr>
          <w:p>
            <w:pPr>
              <w:pageBreakBefore w:val="0"/>
              <w:kinsoku/>
              <w:wordWrap/>
              <w:overflowPunct/>
              <w:topLinePunct w:val="0"/>
              <w:autoSpaceDE/>
              <w:autoSpaceDN/>
              <w:bidi w:val="0"/>
              <w:jc w:val="both"/>
            </w:pPr>
          </w:p>
        </w:tc>
        <w:tc>
          <w:tcPr>
            <w:tcW w:w="1558" w:type="dxa"/>
            <w:vMerge w:val="continue"/>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Merge w:val="continue"/>
            <w:vAlign w:val="center"/>
          </w:tcPr>
          <w:p>
            <w:pPr>
              <w:pageBreakBefore w:val="0"/>
              <w:kinsoku/>
              <w:wordWrap/>
              <w:overflowPunct/>
              <w:topLinePunct w:val="0"/>
              <w:autoSpaceDE/>
              <w:autoSpaceDN/>
              <w:bidi w:val="0"/>
              <w:jc w:val="both"/>
            </w:pPr>
          </w:p>
        </w:tc>
        <w:tc>
          <w:tcPr>
            <w:tcW w:w="3340" w:type="dxa"/>
            <w:vMerge w:val="continue"/>
            <w:vAlign w:val="center"/>
          </w:tcPr>
          <w:p>
            <w:pPr>
              <w:pageBreakBefore w:val="0"/>
              <w:kinsoku/>
              <w:wordWrap/>
              <w:overflowPunct/>
              <w:topLinePunct w:val="0"/>
              <w:autoSpaceDE/>
              <w:autoSpaceDN/>
              <w:bidi w:val="0"/>
              <w:jc w:val="both"/>
            </w:pPr>
          </w:p>
        </w:tc>
        <w:tc>
          <w:tcPr>
            <w:tcW w:w="1420" w:type="dxa"/>
            <w:vMerge w:val="continue"/>
            <w:vAlign w:val="center"/>
          </w:tcPr>
          <w:p>
            <w:pPr>
              <w:pageBreakBefore w:val="0"/>
              <w:kinsoku/>
              <w:wordWrap/>
              <w:overflowPunct/>
              <w:topLinePunct w:val="0"/>
              <w:autoSpaceDE/>
              <w:autoSpaceDN/>
              <w:bidi w:val="0"/>
              <w:jc w:val="both"/>
            </w:pPr>
          </w:p>
        </w:tc>
        <w:tc>
          <w:tcPr>
            <w:tcW w:w="1520" w:type="dxa"/>
            <w:vMerge w:val="continue"/>
            <w:vAlign w:val="center"/>
          </w:tcPr>
          <w:p>
            <w:pPr>
              <w:pageBreakBefore w:val="0"/>
              <w:kinsoku/>
              <w:wordWrap/>
              <w:overflowPunct/>
              <w:topLinePunct w:val="0"/>
              <w:autoSpaceDE/>
              <w:autoSpaceDN/>
              <w:bidi w:val="0"/>
              <w:jc w:val="both"/>
            </w:pPr>
          </w:p>
        </w:tc>
        <w:tc>
          <w:tcPr>
            <w:tcW w:w="1520" w:type="dxa"/>
            <w:vMerge w:val="continue"/>
            <w:vAlign w:val="center"/>
          </w:tcPr>
          <w:p>
            <w:pPr>
              <w:pageBreakBefore w:val="0"/>
              <w:kinsoku/>
              <w:wordWrap/>
              <w:overflowPunct/>
              <w:topLinePunct w:val="0"/>
              <w:autoSpaceDE/>
              <w:autoSpaceDN/>
              <w:bidi w:val="0"/>
              <w:jc w:val="both"/>
            </w:pPr>
          </w:p>
        </w:tc>
        <w:tc>
          <w:tcPr>
            <w:tcW w:w="1520" w:type="dxa"/>
            <w:vMerge w:val="continue"/>
            <w:vAlign w:val="center"/>
          </w:tcPr>
          <w:p>
            <w:pPr>
              <w:pageBreakBefore w:val="0"/>
              <w:kinsoku/>
              <w:wordWrap/>
              <w:overflowPunct/>
              <w:topLinePunct w:val="0"/>
              <w:autoSpaceDE/>
              <w:autoSpaceDN/>
              <w:bidi w:val="0"/>
              <w:jc w:val="both"/>
            </w:pPr>
          </w:p>
        </w:tc>
        <w:tc>
          <w:tcPr>
            <w:tcW w:w="1520" w:type="dxa"/>
            <w:vMerge w:val="continue"/>
            <w:vAlign w:val="center"/>
          </w:tcPr>
          <w:p>
            <w:pPr>
              <w:pageBreakBefore w:val="0"/>
              <w:kinsoku/>
              <w:wordWrap/>
              <w:overflowPunct/>
              <w:topLinePunct w:val="0"/>
              <w:autoSpaceDE/>
              <w:autoSpaceDN/>
              <w:bidi w:val="0"/>
              <w:jc w:val="both"/>
            </w:pPr>
          </w:p>
        </w:tc>
        <w:tc>
          <w:tcPr>
            <w:tcW w:w="1558" w:type="dxa"/>
            <w:vMerge w:val="continue"/>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4180" w:type="dxa"/>
            <w:gridSpan w:val="2"/>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合计</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8,314,642.89</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8,314,642.89</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5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205</w:t>
            </w:r>
          </w:p>
        </w:tc>
        <w:tc>
          <w:tcPr>
            <w:tcW w:w="3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教育支出</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8,314,642.89</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8,314,642.89</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5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20502</w:t>
            </w:r>
          </w:p>
        </w:tc>
        <w:tc>
          <w:tcPr>
            <w:tcW w:w="3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普通教育</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8,314,642.89</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8,314,642.89</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5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2050202</w:t>
            </w:r>
          </w:p>
        </w:tc>
        <w:tc>
          <w:tcPr>
            <w:tcW w:w="3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小学教育</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8,314,642.89</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8,314,642.89</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5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2050202</w:t>
            </w:r>
          </w:p>
        </w:tc>
        <w:tc>
          <w:tcPr>
            <w:tcW w:w="3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中北二小抚恤金费用（边俊珍）</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20,052.00</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20,052.00</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5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2050202</w:t>
            </w:r>
          </w:p>
        </w:tc>
        <w:tc>
          <w:tcPr>
            <w:tcW w:w="3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教育系统综合业务费</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2,355,172.89</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2,355,172.89</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5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2050202</w:t>
            </w:r>
          </w:p>
        </w:tc>
        <w:tc>
          <w:tcPr>
            <w:tcW w:w="3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中北二小房租费用</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1,800,000.00</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1,800,000.00</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5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2050202</w:t>
            </w:r>
          </w:p>
        </w:tc>
        <w:tc>
          <w:tcPr>
            <w:tcW w:w="3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中北二小抚恤金费用</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34,788.00</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34,788.00</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5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2050202</w:t>
            </w:r>
          </w:p>
        </w:tc>
        <w:tc>
          <w:tcPr>
            <w:tcW w:w="3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课后服务经费（区级）</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161,400.00</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161,400.00</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5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2050202</w:t>
            </w:r>
          </w:p>
        </w:tc>
        <w:tc>
          <w:tcPr>
            <w:tcW w:w="3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原代课教师补贴项目（区级）</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343,230.00</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343,230.00</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5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382" w:hRule="exact"/>
          <w:jc w:val="center"/>
        </w:trPr>
        <w:tc>
          <w:tcPr>
            <w:tcW w:w="8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2050202</w:t>
            </w:r>
          </w:p>
        </w:tc>
        <w:tc>
          <w:tcPr>
            <w:tcW w:w="334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中北二小2022年分校房租费</w:t>
            </w:r>
          </w:p>
        </w:tc>
        <w:tc>
          <w:tcPr>
            <w:tcW w:w="14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3,600,000.00</w:t>
            </w:r>
          </w:p>
        </w:tc>
        <w:tc>
          <w:tcPr>
            <w:tcW w:w="1520" w:type="dxa"/>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3,600,000.00</w:t>
            </w: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20" w:type="dxa"/>
            <w:vAlign w:val="center"/>
          </w:tcPr>
          <w:p>
            <w:pPr>
              <w:pageBreakBefore w:val="0"/>
              <w:kinsoku/>
              <w:wordWrap/>
              <w:overflowPunct/>
              <w:topLinePunct w:val="0"/>
              <w:autoSpaceDE/>
              <w:autoSpaceDN/>
              <w:bidi w:val="0"/>
              <w:jc w:val="both"/>
            </w:pPr>
          </w:p>
        </w:tc>
        <w:tc>
          <w:tcPr>
            <w:tcW w:w="1558" w:type="dxa"/>
            <w:vAlign w:val="center"/>
          </w:tcPr>
          <w:p>
            <w:pPr>
              <w:pageBreakBefore w:val="0"/>
              <w:kinsoku/>
              <w:wordWrap/>
              <w:overflowPunct/>
              <w:topLinePunct w:val="0"/>
              <w:autoSpaceDE/>
              <w:autoSpaceDN/>
              <w:bidi w:val="0"/>
              <w:jc w:val="both"/>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pageBreakBefore w:val="0"/>
              <w:kinsoku/>
              <w:wordWrap/>
              <w:overflowPunct/>
              <w:topLinePunct w:val="0"/>
              <w:autoSpaceDE/>
              <w:autoSpaceDN/>
              <w:bidi w:val="0"/>
              <w:snapToGrid w:val="0"/>
              <w:jc w:val="both"/>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pPr>
        <w:pageBreakBefore w:val="0"/>
        <w:kinsoku/>
        <w:wordWrap/>
        <w:overflowPunct/>
        <w:topLinePunct w:val="0"/>
        <w:autoSpaceDE/>
        <w:autoSpaceDN/>
        <w:bidi w:val="0"/>
        <w:snapToGrid/>
        <w:jc w:val="both"/>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pPr>
        <w:pStyle w:val="5"/>
        <w:pageBreakBefore w:val="0"/>
        <w:kinsoku/>
        <w:wordWrap/>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190171269"/>
      <w:bookmarkStart w:id="39" w:name="_Toc245797798"/>
      <w:bookmarkStart w:id="40" w:name="_Toc229642691"/>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pPr>
        <w:pStyle w:val="6"/>
        <w:pageBreakBefore w:val="0"/>
        <w:kinsoku/>
        <w:wordWrap/>
        <w:overflowPunct/>
        <w:topLinePunct w:val="0"/>
        <w:autoSpaceDE/>
        <w:autoSpaceDN/>
        <w:bidi w:val="0"/>
        <w:snapToGrid/>
        <w:spacing w:before="0" w:after="0" w:line="600" w:lineRule="exact"/>
        <w:ind w:firstLine="602" w:firstLineChars="200"/>
        <w:jc w:val="both"/>
        <w:outlineLvl w:val="0"/>
        <w:rPr>
          <w:rFonts w:hint="eastAsia" w:ascii="黑体" w:hAnsi="黑体" w:eastAsia="黑体"/>
          <w:b/>
          <w:bCs w:val="0"/>
          <w:sz w:val="30"/>
          <w:szCs w:val="30"/>
          <w:highlight w:val="none"/>
          <w:u w:val="none"/>
          <w:lang w:val="en-US" w:eastAsia="zh-CN"/>
        </w:rPr>
      </w:pPr>
      <w:bookmarkStart w:id="41" w:name="_Toc576593978"/>
      <w:bookmarkStart w:id="42" w:name="_Toc752851347"/>
      <w:bookmarkStart w:id="43" w:name="_Toc1512537805"/>
      <w:bookmarkStart w:id="44" w:name="_Toc93605266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pPr>
        <w:pageBreakBefore w:val="0"/>
        <w:kinsoku/>
        <w:wordWrap/>
        <w:overflowPunct/>
        <w:topLinePunct w:val="0"/>
        <w:autoSpaceDE/>
        <w:autoSpaceDN/>
        <w:bidi w:val="0"/>
        <w:snapToGrid/>
        <w:spacing w:line="600" w:lineRule="exact"/>
        <w:ind w:firstLine="6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天津市西青区中北第二小学2024年度收入、支出决算总计37,703,744.60元。与2023年度相比，收、支总计各增加1,014,503.53元，增长2.765%，主要原因是项目支出增加，其中分校房租占比增大。</w:t>
      </w:r>
    </w:p>
    <w:p>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收入包括：一般公共预算财政拨款收入37,559,919.40元、其他收入143,825.20元。</w:t>
      </w:r>
    </w:p>
    <w:p>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支出包括：教育支出37,703,744.60元。</w:t>
      </w:r>
    </w:p>
    <w:p>
      <w:pPr>
        <w:pStyle w:val="6"/>
        <w:pageBreakBefore w:val="0"/>
        <w:kinsoku/>
        <w:wordWrap/>
        <w:overflowPunct/>
        <w:topLinePunct w:val="0"/>
        <w:autoSpaceDE/>
        <w:autoSpaceDN/>
        <w:bidi w:val="0"/>
        <w:snapToGrid/>
        <w:spacing w:before="0" w:after="0" w:line="600" w:lineRule="exact"/>
        <w:ind w:firstLine="602" w:firstLineChars="200"/>
        <w:jc w:val="both"/>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8940905"/>
      <w:bookmarkStart w:id="47" w:name="_Toc1458959096"/>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第二小学2024年度本年收入合计37,703,744.60元，与2023年度相比增加1,014,503.53元，主要原因是项目支出增加，其中分校房租占比增大。其中：一般公共预算财政拨款收入37,559,919.40元，占99.619%；其他收入143,825.20元，占0.381%。</w:t>
      </w:r>
    </w:p>
    <w:p>
      <w:pPr>
        <w:pStyle w:val="6"/>
        <w:pageBreakBefore w:val="0"/>
        <w:kinsoku/>
        <w:wordWrap/>
        <w:overflowPunct/>
        <w:topLinePunct w:val="0"/>
        <w:autoSpaceDE/>
        <w:autoSpaceDN/>
        <w:bidi w:val="0"/>
        <w:snapToGrid/>
        <w:spacing w:before="0" w:after="0" w:line="600" w:lineRule="exact"/>
        <w:ind w:firstLine="602" w:firstLineChars="200"/>
        <w:jc w:val="both"/>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1147249173"/>
      <w:bookmarkStart w:id="51" w:name="_Toc2115235603"/>
      <w:bookmarkStart w:id="52" w:name="_Toc1122681810"/>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天津市西青区中北第二小学2024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合计37,703,744.60</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与2023年度相比增加1,014,503.53元，主要原因是项目支出增加，其中分校房租占比增大。其中：基本支出29,389,101.71元，占77.947%；项目支出8,314,642.89元，占22.053%。</w:t>
      </w:r>
    </w:p>
    <w:p>
      <w:pPr>
        <w:pStyle w:val="6"/>
        <w:pageBreakBefore w:val="0"/>
        <w:kinsoku/>
        <w:wordWrap/>
        <w:overflowPunct/>
        <w:topLinePunct w:val="0"/>
        <w:autoSpaceDE/>
        <w:autoSpaceDN/>
        <w:bidi w:val="0"/>
        <w:snapToGrid/>
        <w:spacing w:before="0" w:after="0" w:line="600" w:lineRule="exact"/>
        <w:ind w:firstLine="602" w:firstLineChars="200"/>
        <w:jc w:val="both"/>
        <w:outlineLvl w:val="0"/>
        <w:rPr>
          <w:rFonts w:hint="eastAsia" w:ascii="黑体" w:hAnsi="黑体" w:eastAsia="黑体"/>
          <w:b/>
          <w:bCs w:val="0"/>
          <w:sz w:val="30"/>
          <w:szCs w:val="30"/>
          <w:highlight w:val="none"/>
          <w:u w:val="none"/>
          <w:lang w:val="en-US" w:eastAsia="zh-CN"/>
        </w:rPr>
      </w:pPr>
      <w:bookmarkStart w:id="53" w:name="_Toc1121858128"/>
      <w:bookmarkStart w:id="54" w:name="_Toc1320487183"/>
      <w:bookmarkStart w:id="55" w:name="_Toc1029059860"/>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pPr>
        <w:pageBreakBefore w:val="0"/>
        <w:kinsoku/>
        <w:wordWrap/>
        <w:overflowPunct/>
        <w:topLinePunct w:val="0"/>
        <w:autoSpaceDE/>
        <w:autoSpaceDN/>
        <w:bidi w:val="0"/>
        <w:snapToGrid/>
        <w:spacing w:line="600" w:lineRule="exact"/>
        <w:ind w:firstLine="6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天津市西青区中北第二小学2024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37,559,919.40元。与2023年度相比，财政拨款收、支总计各增加1,135,812.83元，增长3.118%，主要原因是项目支出增加，其中分校房租占比增大。</w:t>
      </w:r>
    </w:p>
    <w:p>
      <w:pPr>
        <w:pageBreakBefore w:val="0"/>
        <w:kinsoku/>
        <w:wordWrap/>
        <w:overflowPunct/>
        <w:topLinePunct w:val="0"/>
        <w:autoSpaceDE/>
        <w:autoSpaceDN/>
        <w:bidi w:val="0"/>
        <w:snapToGrid/>
        <w:spacing w:line="600" w:lineRule="exact"/>
        <w:ind w:firstLine="6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收入包括：一般公共预算财政拨款37,559,919.40元。</w:t>
      </w:r>
    </w:p>
    <w:p>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支出包括：教育支出37,559,919.40元。</w:t>
      </w:r>
    </w:p>
    <w:p>
      <w:pPr>
        <w:pStyle w:val="6"/>
        <w:pageBreakBefore w:val="0"/>
        <w:kinsoku/>
        <w:wordWrap/>
        <w:overflowPunct/>
        <w:topLinePunct w:val="0"/>
        <w:autoSpaceDE/>
        <w:autoSpaceDN/>
        <w:bidi w:val="0"/>
        <w:snapToGrid/>
        <w:spacing w:before="0" w:after="0" w:line="600" w:lineRule="exact"/>
        <w:ind w:firstLine="602" w:firstLineChars="200"/>
        <w:jc w:val="both"/>
        <w:outlineLvl w:val="0"/>
        <w:rPr>
          <w:rFonts w:hint="eastAsia" w:ascii="黑体" w:hAnsi="黑体" w:eastAsia="黑体" w:cs="仿宋_GB2312"/>
          <w:b/>
          <w:bCs/>
          <w:sz w:val="30"/>
          <w:szCs w:val="30"/>
          <w:highlight w:val="none"/>
          <w:u w:val="none"/>
          <w:lang w:val="en-US" w:eastAsia="zh-CN"/>
        </w:rPr>
      </w:pPr>
      <w:bookmarkStart w:id="57" w:name="_Toc1723257729"/>
      <w:bookmarkStart w:id="58" w:name="_Toc1332076583"/>
      <w:bookmarkStart w:id="59" w:name="_Toc1429143231"/>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第二小学2024年度部门决算一般公共预算财政拨款支出合计37,559,919.40元，占本年支出合计的99.619%。与2023年度相比，一般公共预算财政拨款支出增加1,135,812.83元，增长3.118%，主要原因是项目支出增加，其中分校房租占比增大。</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2024年度一般公共预算财政拨款支出37,559,919.40元，主要用于以下方面：教育支出（类）支出37,559,919.40元，占100.000%。</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2024年度一般公共预算财政拨款支出年初预算为33,605,419.32元，支出决算为37,559,919.40元，完成年初预算的111.767%。其中：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普通教育(款)小学教育(项)年初预算为29,157,010.24元，支出决算为37,559,919.40元，完成年初预算的128.820%，决算数大于预算数的主要原因是执行过程中社会保障和就业及卫生健康两个科目中相关支出调整到教育支出下小学教育支出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376,992.00元，支出决算为0.00元，决算数小于预算数的主要原因是：执行过程中事业单位离退休支出调整到教育支出下小学教育支出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_GB2312"/>
          <w:sz w:val="30"/>
          <w:szCs w:val="30"/>
          <w:highlight w:val="none"/>
          <w:u w:val="none"/>
          <w:lang w:val="en-US" w:eastAsia="zh-CN"/>
        </w:rPr>
      </w:pPr>
      <w:bookmarkStart w:id="101" w:name="_GoBack"/>
      <w:bookmarkEnd w:id="101"/>
      <w:r>
        <w:rPr>
          <w:rFonts w:hint="eastAsia" w:eastAsia="仿宋_GB2312"/>
          <w:sz w:val="30"/>
          <w:szCs w:val="30"/>
          <w:highlight w:val="none"/>
          <w:u w:val="none"/>
          <w:lang w:val="en-US" w:eastAsia="zh-CN"/>
        </w:rPr>
        <w:t>3.社会保障和就业支出(类)行政事业单位养老支出(款)机关事业单位基本养老保险缴费支出(项)年初预算为1,825,218.48元，支出决算为0.00元，决算数小于预算数的主要原因是：执行过程中机关事业单位基本养老保险缴费支出调整到教育支出下小学教育支出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912,610.44元，支出决算为0.00元，决算数小于预算数的主要原因是：执行过程中机关事业单位职业年金缴费支出调整到教育支出下小学教育支出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5.卫生健康支出(类)行政事业单位医疗(款)事业单位医疗(项)年初预算为1,197,800.16元，支出决算为0.00元，决算数小于预算数的主要原因是：执行过程中事业单位医疗支出调整到教育支出下小学教育支出中。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135,788.00元，支出决算为0.00元，决算数小于预算数的主要原因是：执行过程中其他行政事业单位医疗支出调整到教育支出下小学教育支出中。</w:t>
      </w:r>
    </w:p>
    <w:p>
      <w:pPr>
        <w:pStyle w:val="6"/>
        <w:pageBreakBefore w:val="0"/>
        <w:kinsoku/>
        <w:wordWrap/>
        <w:overflowPunct/>
        <w:topLinePunct w:val="0"/>
        <w:autoSpaceDE/>
        <w:autoSpaceDN/>
        <w:bidi w:val="0"/>
        <w:snapToGrid/>
        <w:spacing w:before="0" w:after="0" w:line="600" w:lineRule="exact"/>
        <w:ind w:firstLine="602" w:firstLineChars="200"/>
        <w:jc w:val="both"/>
        <w:outlineLvl w:val="0"/>
        <w:rPr>
          <w:rFonts w:hint="eastAsia" w:ascii="黑体" w:hAnsi="黑体" w:eastAsia="黑体" w:cs="仿宋_GB2312"/>
          <w:b/>
          <w:bCs/>
          <w:sz w:val="30"/>
          <w:szCs w:val="30"/>
          <w:highlight w:val="none"/>
          <w:u w:val="none"/>
          <w:lang w:val="en-US" w:eastAsia="zh-CN"/>
        </w:rPr>
      </w:pPr>
      <w:bookmarkStart w:id="61" w:name="_Toc1828187861"/>
      <w:bookmarkStart w:id="62" w:name="_Toc1127616914"/>
      <w:bookmarkStart w:id="63" w:name="_Toc1648307680"/>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天津市西青区中北第二小学2024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合计29,245,276.51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与2023年度相比减少4,136,163.39元，主要原因是编外人员减少。其中：</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27,084,066.30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公用经费2,161,210.21元，主要包括办公费、水费、电费、取暖费、物业管理费、维修(护)费、劳务费、工会经费、其他交通费用、其他商品和服务支出、办公设备购置、其他资本性支出。</w:t>
      </w:r>
    </w:p>
    <w:p>
      <w:pPr>
        <w:pStyle w:val="6"/>
        <w:pageBreakBefore w:val="0"/>
        <w:kinsoku/>
        <w:wordWrap/>
        <w:overflowPunct/>
        <w:topLinePunct w:val="0"/>
        <w:autoSpaceDE/>
        <w:autoSpaceDN/>
        <w:bidi w:val="0"/>
        <w:snapToGrid/>
        <w:spacing w:before="0" w:after="0" w:line="600" w:lineRule="exact"/>
        <w:ind w:firstLine="602" w:firstLineChars="200"/>
        <w:jc w:val="both"/>
        <w:outlineLvl w:val="0"/>
        <w:rPr>
          <w:rFonts w:hint="eastAsia" w:ascii="黑体" w:hAnsi="黑体" w:eastAsia="黑体" w:cs="仿宋_GB2312"/>
          <w:b/>
          <w:bCs/>
          <w:sz w:val="30"/>
          <w:szCs w:val="30"/>
          <w:highlight w:val="none"/>
          <w:u w:val="none"/>
          <w:lang w:val="en-US" w:eastAsia="zh-CN"/>
        </w:rPr>
      </w:pPr>
      <w:bookmarkStart w:id="65" w:name="_Toc568131460"/>
      <w:bookmarkStart w:id="66" w:name="_Toc314288823"/>
      <w:bookmarkStart w:id="67" w:name="_Toc1171491186"/>
      <w:bookmarkStart w:id="68" w:name="_Toc157358551"/>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pPr>
        <w:pageBreakBefore w:val="0"/>
        <w:kinsoku/>
        <w:wordWrap/>
        <w:overflowPunct/>
        <w:topLinePunct w:val="0"/>
        <w:autoSpaceDE/>
        <w:autoSpaceDN/>
        <w:bidi w:val="0"/>
        <w:snapToGrid/>
        <w:spacing w:line="600" w:lineRule="exact"/>
        <w:ind w:firstLine="600" w:firstLineChars="200"/>
        <w:jc w:val="both"/>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天津市西青区中北第二小学2024年度无政府性基金预算财政拨款收入、支出和结转结余。</w:t>
      </w:r>
    </w:p>
    <w:p>
      <w:pPr>
        <w:pStyle w:val="6"/>
        <w:pageBreakBefore w:val="0"/>
        <w:kinsoku/>
        <w:wordWrap/>
        <w:overflowPunct/>
        <w:topLinePunct w:val="0"/>
        <w:autoSpaceDE/>
        <w:autoSpaceDN/>
        <w:bidi w:val="0"/>
        <w:snapToGrid/>
        <w:spacing w:before="0" w:after="0" w:line="600" w:lineRule="exact"/>
        <w:ind w:firstLine="602" w:firstLineChars="200"/>
        <w:jc w:val="both"/>
        <w:outlineLvl w:val="0"/>
        <w:rPr>
          <w:rFonts w:hint="eastAsia" w:ascii="黑体" w:hAnsi="黑体" w:eastAsia="黑体" w:cs="仿宋_GB2312"/>
          <w:b/>
          <w:bCs/>
          <w:sz w:val="30"/>
          <w:szCs w:val="30"/>
          <w:highlight w:val="none"/>
          <w:u w:val="none"/>
          <w:lang w:val="en-US" w:eastAsia="zh-CN"/>
        </w:rPr>
      </w:pPr>
      <w:bookmarkStart w:id="69" w:name="_Toc1122287406"/>
      <w:bookmarkStart w:id="70" w:name="_Toc873153658"/>
      <w:bookmarkStart w:id="71" w:name="_Toc1172797200"/>
      <w:bookmarkStart w:id="72" w:name="_Toc158996018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天津市西青区中北第二小学2024年度无国有资本经营预算财政拨款收入、支出和结转结余。</w:t>
      </w:r>
    </w:p>
    <w:p>
      <w:pPr>
        <w:pStyle w:val="6"/>
        <w:pageBreakBefore w:val="0"/>
        <w:kinsoku/>
        <w:wordWrap/>
        <w:overflowPunct/>
        <w:topLinePunct w:val="0"/>
        <w:autoSpaceDE/>
        <w:autoSpaceDN/>
        <w:bidi w:val="0"/>
        <w:snapToGrid/>
        <w:spacing w:before="0" w:after="0" w:line="600" w:lineRule="exact"/>
        <w:ind w:firstLine="602" w:firstLineChars="200"/>
        <w:jc w:val="both"/>
        <w:outlineLvl w:val="0"/>
        <w:rPr>
          <w:rFonts w:hint="eastAsia" w:ascii="黑体" w:hAnsi="黑体" w:eastAsia="黑体" w:cs="仿宋_GB2312"/>
          <w:b/>
          <w:bCs/>
          <w:sz w:val="30"/>
          <w:szCs w:val="30"/>
          <w:highlight w:val="none"/>
          <w:u w:val="none"/>
          <w:lang w:val="en-US" w:eastAsia="zh-CN"/>
        </w:rPr>
      </w:pPr>
      <w:bookmarkStart w:id="73" w:name="_Toc1337770055"/>
      <w:bookmarkStart w:id="74" w:name="_Toc935561041"/>
      <w:bookmarkStart w:id="75" w:name="_Toc1597628234"/>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pPr>
        <w:pStyle w:val="6"/>
        <w:pageBreakBefore w:val="0"/>
        <w:kinsoku/>
        <w:wordWrap/>
        <w:overflowPunct/>
        <w:topLinePunct w:val="0"/>
        <w:autoSpaceDE/>
        <w:autoSpaceDN/>
        <w:bidi w:val="0"/>
        <w:snapToGrid/>
        <w:spacing w:before="0" w:after="0" w:line="600" w:lineRule="exact"/>
        <w:ind w:firstLine="602" w:firstLineChars="200"/>
        <w:jc w:val="both"/>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756482046"/>
      <w:bookmarkStart w:id="83" w:name="_Toc2102885201"/>
      <w:bookmarkStart w:id="84" w:name="_Toc1349690397"/>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天津市西青区中北第二小学2024年度无机关运行经费。</w:t>
      </w:r>
    </w:p>
    <w:p>
      <w:pPr>
        <w:pStyle w:val="6"/>
        <w:pageBreakBefore w:val="0"/>
        <w:kinsoku/>
        <w:wordWrap/>
        <w:overflowPunct/>
        <w:topLinePunct w:val="0"/>
        <w:autoSpaceDE/>
        <w:autoSpaceDN/>
        <w:bidi w:val="0"/>
        <w:snapToGrid/>
        <w:spacing w:before="0" w:after="0" w:line="600" w:lineRule="exact"/>
        <w:ind w:firstLine="602" w:firstLineChars="200"/>
        <w:jc w:val="both"/>
        <w:outlineLvl w:val="0"/>
        <w:rPr>
          <w:rFonts w:hint="eastAsia" w:ascii="黑体" w:hAnsi="黑体" w:eastAsia="黑体" w:cs="仿宋_GB2312"/>
          <w:b/>
          <w:bCs/>
          <w:sz w:val="30"/>
          <w:szCs w:val="30"/>
          <w:highlight w:val="none"/>
          <w:u w:val="none"/>
          <w:lang w:val="en-US" w:eastAsia="zh-CN"/>
        </w:rPr>
      </w:pPr>
      <w:bookmarkStart w:id="85" w:name="_Toc2053194528"/>
      <w:bookmarkStart w:id="86" w:name="_Toc1883535460"/>
      <w:bookmarkStart w:id="87" w:name="_Toc376739118"/>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中北第二小学2024年政府采购支出总额5,303,600.00元，其中：政府采购货物支出728,000.00元、政府采购工程支出0.00元、政府采购服务支出4,575,600.00元。授予中小企业合同金额5,303,600.00元，占政府采购支出总额的100.000%，其中：授予小微企业合同金额5,303,600.00元，占政府采购支出总额的100.000%；货物采购授予中小企业合同金额占货物支出金额的100.000%，工程采购授予中小企业合同金额占工程支出金额的0.000%，服务采购授予中小企业合同金额占服务支出金额的100.000%。</w:t>
      </w:r>
    </w:p>
    <w:p>
      <w:pPr>
        <w:pStyle w:val="6"/>
        <w:pageBreakBefore w:val="0"/>
        <w:kinsoku/>
        <w:wordWrap/>
        <w:overflowPunct/>
        <w:topLinePunct w:val="0"/>
        <w:autoSpaceDE/>
        <w:autoSpaceDN/>
        <w:bidi w:val="0"/>
        <w:snapToGrid/>
        <w:spacing w:before="0" w:after="0" w:line="600" w:lineRule="exact"/>
        <w:ind w:firstLine="602" w:firstLineChars="200"/>
        <w:jc w:val="both"/>
        <w:outlineLvl w:val="0"/>
        <w:rPr>
          <w:rFonts w:hint="eastAsia" w:ascii="黑体" w:hAnsi="黑体" w:eastAsia="黑体" w:cs="仿宋_GB2312"/>
          <w:b/>
          <w:bCs/>
          <w:sz w:val="30"/>
          <w:szCs w:val="30"/>
          <w:highlight w:val="none"/>
          <w:u w:val="none"/>
          <w:lang w:val="en-US" w:eastAsia="zh-CN"/>
        </w:rPr>
      </w:pPr>
      <w:bookmarkStart w:id="89" w:name="_Toc1072564870"/>
      <w:bookmarkStart w:id="90" w:name="_Toc925871084"/>
      <w:bookmarkStart w:id="91" w:name="_Toc125708453"/>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天津市西青区中北第二小学2024年度无国有资产占有使用情况。</w:t>
      </w:r>
    </w:p>
    <w:p>
      <w:pPr>
        <w:pStyle w:val="6"/>
        <w:pageBreakBefore w:val="0"/>
        <w:numPr>
          <w:ilvl w:val="0"/>
          <w:numId w:val="1"/>
        </w:numPr>
        <w:kinsoku/>
        <w:wordWrap/>
        <w:overflowPunct/>
        <w:topLinePunct w:val="0"/>
        <w:autoSpaceDE/>
        <w:autoSpaceDN/>
        <w:bidi w:val="0"/>
        <w:snapToGrid/>
        <w:spacing w:before="0" w:after="0" w:line="600" w:lineRule="exact"/>
        <w:ind w:firstLine="602" w:firstLineChars="200"/>
        <w:jc w:val="both"/>
        <w:outlineLvl w:val="0"/>
        <w:rPr>
          <w:rFonts w:hint="eastAsia" w:ascii="黑体" w:hAnsi="黑体" w:eastAsia="黑体" w:cs="仿宋_GB2312"/>
          <w:b/>
          <w:bCs/>
          <w:sz w:val="30"/>
          <w:szCs w:val="30"/>
          <w:highlight w:val="none"/>
          <w:u w:val="none"/>
          <w:lang w:val="en-US" w:eastAsia="zh-CN"/>
        </w:rPr>
      </w:pPr>
      <w:bookmarkStart w:id="94" w:name="_Toc639136604"/>
      <w:bookmarkStart w:id="95" w:name="_Toc448802626"/>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根据预算绩效管理要求，天津市西青区中北第二小学已对8个2024年度项目开展绩效自评，涉及金额8,314,642.89元，自评结果已随部门决算一并公开。</w:t>
      </w:r>
    </w:p>
    <w:p>
      <w:pPr>
        <w:pStyle w:val="6"/>
        <w:pageBreakBefore w:val="0"/>
        <w:numPr>
          <w:ilvl w:val="0"/>
          <w:numId w:val="1"/>
        </w:numPr>
        <w:kinsoku/>
        <w:wordWrap/>
        <w:overflowPunct/>
        <w:topLinePunct w:val="0"/>
        <w:autoSpaceDE/>
        <w:autoSpaceDN/>
        <w:bidi w:val="0"/>
        <w:snapToGrid/>
        <w:spacing w:before="0" w:after="0" w:line="600" w:lineRule="exact"/>
        <w:ind w:left="0" w:leftChars="0" w:firstLine="602" w:firstLineChars="200"/>
        <w:jc w:val="both"/>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pPr>
        <w:spacing w:beforeLines="0" w:afterLines="0" w:line="600" w:lineRule="exact"/>
        <w:ind w:firstLine="600"/>
        <w:rPr>
          <w:rFonts w:hint="eastAsia" w:ascii="仿宋_GB2312" w:hAnsi="仿宋_GB2312" w:eastAsia="仿宋_GB2312"/>
          <w:b/>
          <w:color w:val="000000"/>
          <w:sz w:val="30"/>
          <w:szCs w:val="24"/>
        </w:rPr>
      </w:pPr>
      <w:r>
        <w:rPr>
          <w:rFonts w:hint="eastAsia" w:ascii="仿宋" w:hAnsi="仿宋" w:eastAsia="仿宋" w:cs="仿宋"/>
          <w:color w:val="auto"/>
          <w:sz w:val="30"/>
          <w:szCs w:val="24"/>
          <w:lang w:val="en-US"/>
        </w:rPr>
        <w:t>天津市西青区中北第二小学202</w:t>
      </w:r>
      <w:r>
        <w:rPr>
          <w:rFonts w:hint="eastAsia" w:ascii="仿宋" w:hAnsi="仿宋" w:eastAsia="仿宋" w:cs="仿宋"/>
          <w:color w:val="auto"/>
          <w:sz w:val="30"/>
          <w:szCs w:val="24"/>
          <w:lang w:val="en-US" w:eastAsia="zh-CN"/>
        </w:rPr>
        <w:t>4</w:t>
      </w:r>
      <w:r>
        <w:rPr>
          <w:rFonts w:hint="eastAsia" w:ascii="仿宋" w:hAnsi="仿宋" w:eastAsia="仿宋" w:cs="仿宋"/>
          <w:color w:val="auto"/>
          <w:sz w:val="30"/>
          <w:szCs w:val="24"/>
          <w:lang w:val="en-US"/>
        </w:rPr>
        <w:t>年度</w:t>
      </w:r>
      <w:r>
        <w:rPr>
          <w:rFonts w:hint="eastAsia" w:ascii="仿宋" w:hAnsi="仿宋" w:eastAsia="仿宋" w:cs="仿宋"/>
          <w:color w:val="auto"/>
          <w:sz w:val="30"/>
          <w:szCs w:val="24"/>
          <w:lang w:val="en-US" w:eastAsia="zh-CN"/>
        </w:rPr>
        <w:t>不涉及公开</w:t>
      </w:r>
      <w:r>
        <w:rPr>
          <w:rFonts w:hint="eastAsia" w:ascii="仿宋" w:hAnsi="仿宋" w:eastAsia="仿宋" w:cs="仿宋"/>
          <w:color w:val="auto"/>
          <w:sz w:val="30"/>
          <w:szCs w:val="24"/>
          <w:lang w:val="en-US"/>
        </w:rPr>
        <w:t>教育、医疗卫生、社会保障和就业、住房保障、涉农补贴等民生支出情况。</w:t>
      </w: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numPr>
          <w:ilvl w:val="0"/>
          <w:numId w:val="0"/>
        </w:numPr>
        <w:rPr>
          <w:rFonts w:hint="eastAsia"/>
          <w:lang w:val="en-US" w:eastAsia="zh-CN"/>
        </w:rPr>
      </w:pPr>
    </w:p>
    <w:p>
      <w:pPr>
        <w:pStyle w:val="5"/>
        <w:pageBreakBefore w:val="0"/>
        <w:kinsoku/>
        <w:wordWrap/>
        <w:overflowPunct/>
        <w:topLinePunct w:val="0"/>
        <w:autoSpaceDE/>
        <w:autoSpaceDN/>
        <w:bidi w:val="0"/>
        <w:snapToGrid/>
        <w:spacing w:before="0" w:after="0" w:line="600" w:lineRule="exact"/>
        <w:jc w:val="center"/>
        <w:rPr>
          <w:rFonts w:hint="eastAsia" w:ascii="黑体" w:hAnsi="黑体" w:eastAsia="黑体" w:cs="黑体"/>
          <w:b/>
          <w:bCs w:val="0"/>
          <w:sz w:val="44"/>
          <w:szCs w:val="44"/>
          <w:highlight w:val="none"/>
          <w:u w:val="none"/>
          <w:lang w:val="en-US" w:eastAsia="zh-CN"/>
        </w:rPr>
      </w:pPr>
      <w:bookmarkStart w:id="97" w:name="_Toc282832597"/>
      <w:bookmarkStart w:id="98" w:name="_Toc368130082"/>
      <w:bookmarkStart w:id="99" w:name="_Toc454181491"/>
      <w:bookmarkStart w:id="100" w:name="_Toc1582447786"/>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pPr>
        <w:pageBreakBefore w:val="0"/>
        <w:kinsoku/>
        <w:wordWrap/>
        <w:overflowPunct/>
        <w:topLinePunct w:val="0"/>
        <w:autoSpaceDE/>
        <w:autoSpaceDN/>
        <w:bidi w:val="0"/>
        <w:snapToGrid/>
        <w:spacing w:line="600" w:lineRule="exact"/>
        <w:ind w:firstLine="600" w:firstLineChars="200"/>
        <w:jc w:val="both"/>
        <w:rPr>
          <w:rFonts w:hint="eastAsia" w:ascii="仿宋_GB2312" w:eastAsia="仿宋_GB2312"/>
          <w:sz w:val="30"/>
          <w:szCs w:val="30"/>
          <w:highlight w:val="none"/>
          <w:u w:val="none"/>
          <w:lang w:val="en-US" w:eastAsia="zh-CN"/>
        </w:rPr>
      </w:pPr>
    </w:p>
    <w:p>
      <w:pPr>
        <w:pageBreakBefore w:val="0"/>
        <w:kinsoku/>
        <w:wordWrap/>
        <w:overflowPunct/>
        <w:topLinePunct w:val="0"/>
        <w:autoSpaceDE/>
        <w:autoSpaceDN/>
        <w:bidi w:val="0"/>
        <w:snapToGrid/>
        <w:spacing w:line="600" w:lineRule="exact"/>
        <w:ind w:firstLine="600" w:firstLineChars="200"/>
        <w:jc w:val="both"/>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autoSpaceDE/>
        <w:autoSpaceDN/>
        <w:bidi w:val="0"/>
        <w:snapToGrid/>
        <w:spacing w:line="600" w:lineRule="exact"/>
        <w:ind w:firstLine="600" w:firstLineChars="200"/>
        <w:jc w:val="both"/>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0A310A"/>
    <w:multiLevelType w:val="singleLevel"/>
    <w:tmpl w:val="790A310A"/>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jY2OTg3OTgyNjg2ZDM3OTBhMDk5MTYzNzhjZjE4OTYifQ=="/>
  </w:docVars>
  <w:rsids>
    <w:rsidRoot w:val="00000000"/>
    <w:rsid w:val="031A20E9"/>
    <w:rsid w:val="08CC0540"/>
    <w:rsid w:val="0A8D3D36"/>
    <w:rsid w:val="0C8C699B"/>
    <w:rsid w:val="10A43816"/>
    <w:rsid w:val="141F6347"/>
    <w:rsid w:val="186F6A9A"/>
    <w:rsid w:val="19823645"/>
    <w:rsid w:val="1A0E0A81"/>
    <w:rsid w:val="24A65CC9"/>
    <w:rsid w:val="24DD62A3"/>
    <w:rsid w:val="2F460759"/>
    <w:rsid w:val="4029261F"/>
    <w:rsid w:val="41F2615A"/>
    <w:rsid w:val="42864E9B"/>
    <w:rsid w:val="43F81C45"/>
    <w:rsid w:val="58D61C27"/>
    <w:rsid w:val="599F6EE2"/>
    <w:rsid w:val="5DB6074F"/>
    <w:rsid w:val="6339205B"/>
    <w:rsid w:val="731A6C33"/>
    <w:rsid w:val="78C77A2F"/>
    <w:rsid w:val="7ABE37AB"/>
  </w:rsids>
  <m:mathPr>
    <m:mathFont m:val="Times New Roman"/>
    <m:brkBin m:val="before"/>
    <m:brkBinSub m:val="--"/>
    <m:smallFrac m:val="0"/>
    <m:dispDef/>
    <m:lMargin m:val="0"/>
    <m:rMargin m:val="0"/>
    <m:defJc m:val="centerGroup"/>
    <m:wrapIndent m:val="1440"/>
    <m:intLim m:val="subSup"/>
    <m:naryLim m:val="undOvr"/>
    <m:interSp m:val="0"/>
    <m:intraSp m:val="0"/>
    <m:postSp m:val="0"/>
    <m:preSp m:val="0"/>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Layout w:type="fixed"/>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31</Pages>
  <Words>9606</Words>
  <Characters>12079</Characters>
  <Lines>60</Lines>
  <Paragraphs>16</Paragraphs>
  <TotalTime>0</TotalTime>
  <ScaleCrop>false</ScaleCrop>
  <LinksUpToDate>false</LinksUpToDate>
  <CharactersWithSpaces>12337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Administrator</cp:lastModifiedBy>
  <cp:lastPrinted>2025-06-29T11:27:00Z</cp:lastPrinted>
  <dcterms:modified xsi:type="dcterms:W3CDTF">2025-08-27T02:12:07Z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