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00" w:lineRule="exact"/>
        <w:ind w:firstLine="0"/>
        <w:jc w:val="center"/>
      </w:pPr>
      <w:bookmarkStart w:id="0" w:name="_GoBack"/>
      <w:bookmarkEnd w:id="0"/>
      <w:r>
        <w:rPr>
          <w:rFonts w:ascii="FZXiaoBiaoSong-B05S" w:hAnsi="FZXiaoBiaoSong-B05S" w:eastAsia="FZXiaoBiaoSong-B05S" w:cs="FZXiaoBiaoSong-B05S"/>
          <w:b/>
          <w:color w:val="000000"/>
          <w:sz w:val="48"/>
        </w:rPr>
        <w:t>天津市西青区中北镇第二幼儿园</w:t>
      </w:r>
      <w:r>
        <w:rPr>
          <w:rFonts w:ascii="FZXiaoBiaoSong-B05S" w:hAnsi="FZXiaoBiaoSong-B05S" w:eastAsia="FZXiaoBiaoSong-B05S" w:cs="FZXiaoBiaoSong-B05S"/>
          <w:b/>
          <w:color w:val="000000"/>
          <w:sz w:val="48"/>
        </w:rPr>
        <w:br w:type="textWrapping"/>
      </w:r>
      <w:r>
        <w:rPr>
          <w:rFonts w:ascii="FZXiaoBiaoSong-B05S" w:hAnsi="FZXiaoBiaoSong-B05S" w:eastAsia="FZXiaoBiaoSong-B05S" w:cs="FZXiaoBiaoSong-B05S"/>
          <w:b/>
          <w:color w:val="000000"/>
          <w:sz w:val="48"/>
        </w:rPr>
        <w:t>2025年度单位预算公开</w:t>
      </w:r>
    </w:p>
    <w:p>
      <w:pPr>
        <w:pageBreakBefore/>
        <w:spacing w:line="560" w:lineRule="exact"/>
        <w:ind w:firstLine="0"/>
        <w:jc w:val="center"/>
      </w:pPr>
      <w:r>
        <w:rPr>
          <w:rFonts w:ascii="黑体" w:hAnsi="黑体" w:eastAsia="黑体" w:cs="黑体"/>
          <w:b/>
          <w:color w:val="000000"/>
          <w:sz w:val="44"/>
        </w:rPr>
        <w:t>目    录</w:t>
      </w:r>
    </w:p>
    <w:p>
      <w:pPr>
        <w:spacing w:line="560" w:lineRule="exact"/>
        <w:ind w:firstLine="900"/>
        <w:jc w:val="both"/>
      </w:pPr>
      <w:r>
        <w:rPr>
          <w:rFonts w:ascii="仿宋" w:hAnsi="仿宋" w:eastAsia="仿宋" w:cs="仿宋"/>
          <w:b/>
          <w:color w:val="000000"/>
          <w:sz w:val="30"/>
        </w:rPr>
        <w:t>第一部分  概况</w:t>
      </w:r>
    </w:p>
    <w:p>
      <w:pPr>
        <w:spacing w:line="560" w:lineRule="exact"/>
        <w:ind w:firstLine="900"/>
        <w:jc w:val="both"/>
      </w:pPr>
      <w:r>
        <w:rPr>
          <w:rFonts w:ascii="仿宋" w:hAnsi="仿宋" w:eastAsia="仿宋" w:cs="仿宋"/>
          <w:b w:val="0"/>
          <w:color w:val="000000"/>
          <w:sz w:val="30"/>
        </w:rPr>
        <w:t>一、主要职责</w:t>
      </w:r>
    </w:p>
    <w:p>
      <w:pPr>
        <w:spacing w:line="560" w:lineRule="exact"/>
        <w:ind w:firstLine="900"/>
        <w:jc w:val="both"/>
      </w:pPr>
      <w:r>
        <w:rPr>
          <w:rFonts w:ascii="仿宋" w:hAnsi="仿宋" w:eastAsia="仿宋" w:cs="仿宋"/>
          <w:b w:val="0"/>
          <w:color w:val="000000"/>
          <w:sz w:val="30"/>
        </w:rPr>
        <w:t>二、机构设置情况</w:t>
      </w:r>
    </w:p>
    <w:p>
      <w:pPr>
        <w:spacing w:line="560" w:lineRule="exact"/>
        <w:ind w:firstLine="900"/>
        <w:jc w:val="both"/>
      </w:pPr>
      <w:r>
        <w:rPr>
          <w:rFonts w:ascii="仿宋" w:hAnsi="仿宋" w:eastAsia="仿宋" w:cs="仿宋"/>
          <w:b/>
          <w:color w:val="000000"/>
          <w:sz w:val="30"/>
        </w:rPr>
        <w:t>第二部分  2025年单位情况说明</w:t>
      </w:r>
    </w:p>
    <w:p>
      <w:pPr>
        <w:spacing w:line="560" w:lineRule="exact"/>
        <w:ind w:firstLine="900"/>
        <w:jc w:val="both"/>
      </w:pPr>
      <w:r>
        <w:rPr>
          <w:rFonts w:ascii="仿宋" w:hAnsi="仿宋" w:eastAsia="仿宋" w:cs="仿宋"/>
          <w:b w:val="0"/>
          <w:color w:val="000000"/>
          <w:sz w:val="30"/>
        </w:rPr>
        <w:t>一、关于收支总体情况表的说明</w:t>
      </w:r>
    </w:p>
    <w:p>
      <w:pPr>
        <w:spacing w:line="560" w:lineRule="exact"/>
        <w:ind w:firstLine="900"/>
        <w:jc w:val="both"/>
      </w:pPr>
      <w:r>
        <w:rPr>
          <w:rFonts w:ascii="仿宋" w:hAnsi="仿宋" w:eastAsia="仿宋" w:cs="仿宋"/>
          <w:b w:val="0"/>
          <w:color w:val="000000"/>
          <w:sz w:val="30"/>
        </w:rPr>
        <w:t>二、关于收入总体情况表的说明</w:t>
      </w:r>
    </w:p>
    <w:p>
      <w:pPr>
        <w:spacing w:line="560" w:lineRule="exact"/>
        <w:ind w:firstLine="900"/>
        <w:jc w:val="both"/>
      </w:pPr>
      <w:r>
        <w:rPr>
          <w:rFonts w:ascii="仿宋" w:hAnsi="仿宋" w:eastAsia="仿宋" w:cs="仿宋"/>
          <w:b w:val="0"/>
          <w:color w:val="000000"/>
          <w:sz w:val="30"/>
        </w:rPr>
        <w:t>三、关于支出总体情况表的说明</w:t>
      </w:r>
    </w:p>
    <w:p>
      <w:pPr>
        <w:spacing w:line="560" w:lineRule="exact"/>
        <w:ind w:firstLine="900"/>
        <w:jc w:val="both"/>
      </w:pPr>
      <w:r>
        <w:rPr>
          <w:rFonts w:ascii="仿宋" w:hAnsi="仿宋" w:eastAsia="仿宋" w:cs="仿宋"/>
          <w:b w:val="0"/>
          <w:color w:val="000000"/>
          <w:sz w:val="30"/>
        </w:rPr>
        <w:t>四、关于财政拨款收支总体情况表的说明</w:t>
      </w:r>
    </w:p>
    <w:p>
      <w:pPr>
        <w:spacing w:line="560" w:lineRule="exact"/>
        <w:ind w:firstLine="900"/>
        <w:jc w:val="both"/>
      </w:pPr>
      <w:r>
        <w:rPr>
          <w:rFonts w:ascii="仿宋" w:hAnsi="仿宋" w:eastAsia="仿宋" w:cs="仿宋"/>
          <w:b w:val="0"/>
          <w:color w:val="000000"/>
          <w:sz w:val="30"/>
        </w:rPr>
        <w:t>五、关于一般公共预算支出情况表的说明</w:t>
      </w:r>
    </w:p>
    <w:p>
      <w:pPr>
        <w:spacing w:line="560" w:lineRule="exact"/>
        <w:ind w:firstLine="900"/>
        <w:jc w:val="both"/>
      </w:pPr>
      <w:r>
        <w:rPr>
          <w:rFonts w:ascii="仿宋" w:hAnsi="仿宋" w:eastAsia="仿宋" w:cs="仿宋"/>
          <w:b w:val="0"/>
          <w:color w:val="000000"/>
          <w:sz w:val="30"/>
        </w:rPr>
        <w:t>六、关于一般公共预算基本支出情况表的说明</w:t>
      </w:r>
    </w:p>
    <w:p>
      <w:pPr>
        <w:spacing w:line="560" w:lineRule="exact"/>
        <w:ind w:firstLine="900"/>
        <w:jc w:val="both"/>
      </w:pPr>
      <w:r>
        <w:rPr>
          <w:rFonts w:ascii="仿宋" w:hAnsi="仿宋" w:eastAsia="仿宋" w:cs="仿宋"/>
          <w:b w:val="0"/>
          <w:color w:val="000000"/>
          <w:sz w:val="30"/>
        </w:rPr>
        <w:t>七、关于一般公共预算“三公”经费支出情况表的说明</w:t>
      </w:r>
    </w:p>
    <w:p>
      <w:pPr>
        <w:spacing w:line="560" w:lineRule="exact"/>
        <w:ind w:firstLine="900"/>
        <w:jc w:val="both"/>
      </w:pPr>
      <w:r>
        <w:rPr>
          <w:rFonts w:ascii="仿宋" w:hAnsi="仿宋" w:eastAsia="仿宋" w:cs="仿宋"/>
          <w:b w:val="0"/>
          <w:color w:val="000000"/>
          <w:sz w:val="30"/>
        </w:rPr>
        <w:t>八、关于政府性基金预算支出情况表的说明</w:t>
      </w:r>
    </w:p>
    <w:p>
      <w:pPr>
        <w:spacing w:line="560" w:lineRule="exact"/>
        <w:ind w:firstLine="900"/>
        <w:jc w:val="both"/>
      </w:pPr>
      <w:r>
        <w:rPr>
          <w:rFonts w:ascii="仿宋" w:hAnsi="仿宋" w:eastAsia="仿宋" w:cs="仿宋"/>
          <w:b w:val="0"/>
          <w:color w:val="000000"/>
          <w:sz w:val="30"/>
        </w:rPr>
        <w:t>九、关于国有资本经营预算支出情况表的说明</w:t>
      </w:r>
    </w:p>
    <w:p>
      <w:pPr>
        <w:spacing w:line="560" w:lineRule="exact"/>
        <w:ind w:firstLine="900"/>
        <w:jc w:val="both"/>
      </w:pPr>
      <w:r>
        <w:rPr>
          <w:rFonts w:ascii="仿宋" w:hAnsi="仿宋" w:eastAsia="仿宋" w:cs="仿宋"/>
          <w:b w:val="0"/>
          <w:color w:val="000000"/>
          <w:sz w:val="30"/>
        </w:rPr>
        <w:t>十、其他重要事项的情况说明</w:t>
      </w:r>
    </w:p>
    <w:p>
      <w:pPr>
        <w:spacing w:line="560" w:lineRule="exact"/>
        <w:ind w:firstLine="900"/>
        <w:jc w:val="both"/>
      </w:pPr>
      <w:r>
        <w:rPr>
          <w:rFonts w:ascii="仿宋" w:hAnsi="仿宋" w:eastAsia="仿宋" w:cs="仿宋"/>
          <w:b/>
          <w:color w:val="000000"/>
          <w:sz w:val="30"/>
        </w:rPr>
        <w:t>第三部分  名词解释</w:t>
      </w:r>
    </w:p>
    <w:p>
      <w:pPr>
        <w:spacing w:line="560" w:lineRule="exact"/>
        <w:ind w:firstLine="900"/>
        <w:jc w:val="both"/>
      </w:pPr>
      <w:r>
        <w:rPr>
          <w:rFonts w:ascii="仿宋" w:hAnsi="仿宋" w:eastAsia="仿宋" w:cs="仿宋"/>
          <w:b/>
          <w:color w:val="000000"/>
          <w:sz w:val="30"/>
        </w:rPr>
        <w:t>第四部分  2025年单位预算表</w:t>
      </w:r>
    </w:p>
    <w:p>
      <w:pPr>
        <w:spacing w:line="560" w:lineRule="exact"/>
        <w:ind w:firstLine="900"/>
        <w:jc w:val="both"/>
      </w:pPr>
      <w:r>
        <w:rPr>
          <w:rFonts w:ascii="仿宋" w:hAnsi="仿宋" w:eastAsia="仿宋" w:cs="仿宋"/>
          <w:b w:val="0"/>
          <w:color w:val="000000"/>
          <w:sz w:val="30"/>
        </w:rPr>
        <w:t>一、部门收支总体情况表</w:t>
      </w:r>
    </w:p>
    <w:p>
      <w:pPr>
        <w:spacing w:line="560" w:lineRule="exact"/>
        <w:ind w:firstLine="900"/>
        <w:jc w:val="both"/>
      </w:pPr>
      <w:r>
        <w:rPr>
          <w:rFonts w:ascii="仿宋" w:hAnsi="仿宋" w:eastAsia="仿宋" w:cs="仿宋"/>
          <w:b w:val="0"/>
          <w:color w:val="000000"/>
          <w:sz w:val="30"/>
        </w:rPr>
        <w:t>二、部门收入总体情况表</w:t>
      </w:r>
    </w:p>
    <w:p>
      <w:pPr>
        <w:spacing w:line="560" w:lineRule="exact"/>
        <w:ind w:firstLine="900"/>
        <w:jc w:val="both"/>
      </w:pPr>
      <w:r>
        <w:rPr>
          <w:rFonts w:ascii="仿宋" w:hAnsi="仿宋" w:eastAsia="仿宋" w:cs="仿宋"/>
          <w:b w:val="0"/>
          <w:color w:val="000000"/>
          <w:sz w:val="30"/>
        </w:rPr>
        <w:t>三、部门支出总体情况表</w:t>
      </w:r>
    </w:p>
    <w:p>
      <w:pPr>
        <w:spacing w:line="560" w:lineRule="exact"/>
        <w:ind w:firstLine="900"/>
        <w:jc w:val="both"/>
      </w:pPr>
      <w:r>
        <w:rPr>
          <w:rFonts w:ascii="仿宋" w:hAnsi="仿宋" w:eastAsia="仿宋" w:cs="仿宋"/>
          <w:b w:val="0"/>
          <w:color w:val="000000"/>
          <w:sz w:val="30"/>
        </w:rPr>
        <w:t>四、财政拨款收支总体情况表</w:t>
      </w:r>
    </w:p>
    <w:p>
      <w:pPr>
        <w:spacing w:line="560" w:lineRule="exact"/>
        <w:ind w:firstLine="900"/>
        <w:jc w:val="both"/>
      </w:pPr>
      <w:r>
        <w:rPr>
          <w:rFonts w:ascii="仿宋" w:hAnsi="仿宋" w:eastAsia="仿宋" w:cs="仿宋"/>
          <w:b w:val="0"/>
          <w:color w:val="000000"/>
          <w:sz w:val="30"/>
        </w:rPr>
        <w:t>五、一般公共预算支出情况表</w:t>
      </w:r>
    </w:p>
    <w:p>
      <w:pPr>
        <w:spacing w:line="560" w:lineRule="exact"/>
        <w:ind w:firstLine="900"/>
        <w:jc w:val="both"/>
      </w:pPr>
      <w:r>
        <w:rPr>
          <w:rFonts w:ascii="仿宋" w:hAnsi="仿宋" w:eastAsia="仿宋" w:cs="仿宋"/>
          <w:b w:val="0"/>
          <w:color w:val="000000"/>
          <w:sz w:val="30"/>
        </w:rPr>
        <w:t>六、一般公共预算基本支出情况表</w:t>
      </w:r>
    </w:p>
    <w:p>
      <w:pPr>
        <w:spacing w:line="560" w:lineRule="exact"/>
        <w:ind w:firstLine="900"/>
        <w:jc w:val="both"/>
      </w:pPr>
      <w:r>
        <w:rPr>
          <w:rFonts w:ascii="仿宋" w:hAnsi="仿宋" w:eastAsia="仿宋" w:cs="仿宋"/>
          <w:b w:val="0"/>
          <w:color w:val="000000"/>
          <w:sz w:val="30"/>
        </w:rPr>
        <w:t>七、一般公共预算“三公”经费支出情况表</w:t>
      </w:r>
    </w:p>
    <w:p>
      <w:pPr>
        <w:spacing w:line="560" w:lineRule="exact"/>
        <w:ind w:firstLine="900"/>
        <w:jc w:val="both"/>
      </w:pPr>
      <w:r>
        <w:rPr>
          <w:rFonts w:ascii="仿宋" w:hAnsi="仿宋" w:eastAsia="仿宋" w:cs="仿宋"/>
          <w:b w:val="0"/>
          <w:color w:val="000000"/>
          <w:sz w:val="30"/>
        </w:rPr>
        <w:t>八、政府性基金预算支出情况表</w:t>
      </w:r>
    </w:p>
    <w:p>
      <w:pPr>
        <w:spacing w:line="560" w:lineRule="exact"/>
        <w:ind w:firstLine="900"/>
        <w:jc w:val="both"/>
      </w:pPr>
      <w:r>
        <w:rPr>
          <w:rFonts w:ascii="仿宋" w:hAnsi="仿宋" w:eastAsia="仿宋" w:cs="仿宋"/>
          <w:b w:val="0"/>
          <w:color w:val="000000"/>
          <w:sz w:val="30"/>
        </w:rPr>
        <w:t>九、国有资本经营预算支出情况表</w:t>
      </w:r>
    </w:p>
    <w:p>
      <w:pPr>
        <w:spacing w:line="560" w:lineRule="exact"/>
        <w:ind w:firstLine="900"/>
        <w:jc w:val="both"/>
      </w:pPr>
      <w:r>
        <w:rPr>
          <w:rFonts w:ascii="仿宋" w:hAnsi="仿宋" w:eastAsia="仿宋" w:cs="仿宋"/>
          <w:b w:val="0"/>
          <w:color w:val="000000"/>
          <w:sz w:val="30"/>
        </w:rPr>
        <w:t>十、项目支出表</w:t>
      </w:r>
    </w:p>
    <w:p>
      <w:pPr>
        <w:spacing w:line="560" w:lineRule="exact"/>
        <w:ind w:firstLine="900"/>
        <w:jc w:val="both"/>
      </w:pPr>
      <w:r>
        <w:rPr>
          <w:rFonts w:ascii="仿宋" w:hAnsi="仿宋" w:eastAsia="仿宋" w:cs="仿宋"/>
          <w:b w:val="0"/>
          <w:color w:val="000000"/>
          <w:sz w:val="30"/>
        </w:rPr>
        <w:t>十一、关于空表的说明</w:t>
      </w:r>
    </w:p>
    <w:p>
      <w:pPr>
        <w:pageBreakBefore/>
        <w:spacing w:line="560" w:lineRule="exact"/>
        <w:ind w:firstLine="0"/>
        <w:jc w:val="center"/>
      </w:pPr>
      <w:r>
        <w:rPr>
          <w:rFonts w:ascii="FZXiaoBiaoSong-B05S" w:hAnsi="FZXiaoBiaoSong-B05S" w:eastAsia="FZXiaoBiaoSong-B05S" w:cs="FZXiaoBiaoSong-B05S"/>
          <w:b/>
          <w:color w:val="000000"/>
          <w:sz w:val="48"/>
        </w:rPr>
        <w:t>第一部分 概况</w:t>
      </w:r>
    </w:p>
    <w:p>
      <w:pPr>
        <w:spacing w:line="560" w:lineRule="exact"/>
        <w:ind w:firstLine="600"/>
        <w:jc w:val="both"/>
      </w:pPr>
      <w:r>
        <w:rPr>
          <w:rFonts w:ascii="黑体" w:hAnsi="黑体" w:eastAsia="黑体" w:cs="黑体"/>
          <w:b/>
          <w:color w:val="353232"/>
          <w:sz w:val="30"/>
        </w:rPr>
        <w:t>一、主要职责</w:t>
      </w:r>
    </w:p>
    <w:p>
      <w:pPr>
        <w:spacing w:line="560" w:lineRule="exact"/>
        <w:ind w:firstLine="600"/>
        <w:jc w:val="both"/>
      </w:pPr>
      <w:r>
        <w:rPr>
          <w:rFonts w:ascii="仿宋" w:hAnsi="仿宋" w:eastAsia="仿宋" w:cs="仿宋"/>
          <w:b w:val="0"/>
          <w:color w:val="000000"/>
          <w:sz w:val="30"/>
        </w:rPr>
        <w:t>实施学前教育，促进学前教育发展。为孩子们创造一个快乐、安全、富有教育意义的环境，让他们在这里快乐成长，学习基本的知识和技能。用心去呵护每一个孩子，为孩子们提供一个全面发展的平台，让他们在这里学有所获。</w:t>
      </w:r>
    </w:p>
    <w:p>
      <w:pPr>
        <w:spacing w:line="560" w:lineRule="exact"/>
        <w:ind w:firstLine="600"/>
        <w:jc w:val="both"/>
      </w:pPr>
      <w:r>
        <w:rPr>
          <w:rFonts w:ascii="黑体" w:hAnsi="黑体" w:eastAsia="黑体" w:cs="黑体"/>
          <w:b/>
          <w:color w:val="000000"/>
          <w:sz w:val="30"/>
        </w:rPr>
        <w:t>二、机构设置情况</w:t>
      </w:r>
    </w:p>
    <w:p>
      <w:pPr>
        <w:spacing w:line="560" w:lineRule="exact"/>
        <w:ind w:firstLine="600"/>
        <w:jc w:val="both"/>
      </w:pPr>
      <w:r>
        <w:rPr>
          <w:rFonts w:ascii="仿宋" w:hAnsi="仿宋" w:eastAsia="仿宋" w:cs="仿宋"/>
          <w:b w:val="0"/>
          <w:color w:val="000000"/>
          <w:sz w:val="30"/>
        </w:rPr>
        <w:t>天津市西青区中北镇第二幼儿园部门内设3个职能科室；下辖1个预算单位。</w:t>
      </w:r>
    </w:p>
    <w:p>
      <w:pPr>
        <w:spacing w:line="560" w:lineRule="exact"/>
        <w:ind w:firstLine="600"/>
        <w:jc w:val="both"/>
      </w:pPr>
      <w:r>
        <w:rPr>
          <w:rFonts w:ascii="仿宋" w:hAnsi="仿宋" w:eastAsia="仿宋" w:cs="仿宋"/>
          <w:b w:val="0"/>
          <w:color w:val="000000"/>
          <w:sz w:val="30"/>
        </w:rPr>
        <w:t>纳入天津市西青区中北镇第二幼儿园单位2025年部门预算编制范围的预算单位包括：</w:t>
      </w:r>
    </w:p>
    <w:p>
      <w:pPr>
        <w:spacing w:line="560" w:lineRule="exact"/>
        <w:ind w:firstLine="600"/>
        <w:jc w:val="both"/>
      </w:pPr>
      <w:r>
        <w:rPr>
          <w:rFonts w:ascii="仿宋" w:hAnsi="仿宋" w:eastAsia="仿宋" w:cs="仿宋"/>
          <w:b w:val="0"/>
          <w:color w:val="000000"/>
          <w:sz w:val="30"/>
        </w:rPr>
        <w:t>1.天津市西青区中北镇第二幼儿园</w:t>
      </w:r>
    </w:p>
    <w:p>
      <w:pPr>
        <w:pageBreakBefore/>
        <w:spacing w:line="560" w:lineRule="exact"/>
        <w:ind w:firstLine="0"/>
        <w:jc w:val="center"/>
      </w:pPr>
      <w:r>
        <w:rPr>
          <w:rFonts w:ascii="FZXiaoBiaoSong-B05S" w:hAnsi="FZXiaoBiaoSong-B05S" w:eastAsia="FZXiaoBiaoSong-B05S" w:cs="FZXiaoBiaoSong-B05S"/>
          <w:b/>
          <w:color w:val="000000"/>
          <w:sz w:val="48"/>
        </w:rPr>
        <w:t>第二部分  2025年度单位预算情况说明</w:t>
      </w:r>
    </w:p>
    <w:p>
      <w:pPr>
        <w:spacing w:line="560" w:lineRule="exact"/>
        <w:ind w:firstLine="600"/>
        <w:jc w:val="both"/>
      </w:pPr>
      <w:r>
        <w:rPr>
          <w:rFonts w:ascii="黑体" w:hAnsi="黑体" w:eastAsia="黑体" w:cs="黑体"/>
          <w:b/>
          <w:color w:val="000000"/>
          <w:sz w:val="30"/>
        </w:rPr>
        <w:t>一、关于收支总体情况表的说明</w:t>
      </w:r>
    </w:p>
    <w:p>
      <w:pPr>
        <w:spacing w:line="560" w:lineRule="exact"/>
        <w:ind w:firstLine="600"/>
        <w:jc w:val="both"/>
      </w:pPr>
      <w:r>
        <w:rPr>
          <w:rFonts w:ascii="仿宋" w:hAnsi="仿宋" w:eastAsia="仿宋" w:cs="仿宋"/>
          <w:b w:val="0"/>
          <w:color w:val="000000"/>
          <w:sz w:val="30"/>
        </w:rPr>
        <w:t>按照综合预算的原则，天津市西青区中北镇第二幼儿园单位所有收入和支出均纳入部门预算管理。收入包括：一般公共预算拨款收入835.78万元、政府性基金预算拨款收入0万元、国有资本经营预算拨款收入0万元、财政专户管理资金收入0万元、事业收入0万元、事业单位经营收入0万元、上级补助收入0万元、附属单位上缴收入0万元、其他收入0万元、上年结转结余0万元；支出包括：教育支出835.78万元。天津市西青区中北镇第二幼儿园单位2025年收支总预算835.78万元。</w:t>
      </w:r>
    </w:p>
    <w:p>
      <w:pPr>
        <w:spacing w:line="560" w:lineRule="exact"/>
        <w:ind w:firstLine="600"/>
        <w:jc w:val="both"/>
      </w:pPr>
      <w:r>
        <w:rPr>
          <w:rFonts w:ascii="黑体" w:hAnsi="黑体" w:eastAsia="黑体" w:cs="黑体"/>
          <w:b/>
          <w:color w:val="000000"/>
          <w:sz w:val="30"/>
        </w:rPr>
        <w:t>二、关于收入总体情况表的说明</w:t>
      </w:r>
    </w:p>
    <w:p>
      <w:pPr>
        <w:spacing w:line="560" w:lineRule="exact"/>
        <w:ind w:firstLine="600"/>
        <w:jc w:val="both"/>
      </w:pPr>
      <w:r>
        <w:rPr>
          <w:rFonts w:ascii="仿宋" w:hAnsi="仿宋" w:eastAsia="仿宋" w:cs="仿宋"/>
          <w:b w:val="0"/>
          <w:color w:val="000000"/>
          <w:sz w:val="30"/>
        </w:rPr>
        <w:t>天津市西青区中北镇第二幼儿园单位2025年部门预算收入835.78万元，与上年预算相比增加51.49万元，主要原因是幼儿数和教师数均有增加其中：上年结转结余0万元，占0%；一般公共预算835.78万元，占100.00%；政府性基金预算0万元，占0%；国有资本经营预算0万元，占0%；财政专户管理资金0万元，占0%；事业收入0万元，占0%；事业单位经营收入0万元，占0%；上级补助收入0万元，占0%；附属单位上缴收入0万元，占0%；其他收入0万元，占0%。</w:t>
      </w:r>
    </w:p>
    <w:p>
      <w:pPr>
        <w:spacing w:line="560" w:lineRule="exact"/>
        <w:ind w:firstLine="600"/>
        <w:jc w:val="both"/>
      </w:pPr>
      <w:r>
        <w:rPr>
          <w:rFonts w:ascii="黑体" w:hAnsi="黑体" w:eastAsia="黑体" w:cs="黑体"/>
          <w:b/>
          <w:color w:val="000000"/>
          <w:sz w:val="30"/>
        </w:rPr>
        <w:t>三、关于支出总体情况表的说明</w:t>
      </w:r>
    </w:p>
    <w:p>
      <w:pPr>
        <w:spacing w:line="560" w:lineRule="exact"/>
        <w:ind w:firstLine="600"/>
        <w:jc w:val="both"/>
      </w:pPr>
      <w:r>
        <w:rPr>
          <w:rFonts w:ascii="仿宋" w:hAnsi="仿宋" w:eastAsia="仿宋" w:cs="仿宋"/>
          <w:b w:val="0"/>
          <w:color w:val="000000"/>
          <w:sz w:val="30"/>
        </w:rPr>
        <w:t>天津市西青区中北镇第二幼儿园单位2025年支出预算835.78万元，与上年预算相比增加51.49万元，主要原因是幼儿数和教师数均有增加其中：基本支出829.78万元，占99.28%；项目支出6.00万元，占0.72%；事业单位经营支出0万元，占0%；上缴上级支出0万元，占0%；对附属单位补助支出0万元，占0%。</w:t>
      </w:r>
    </w:p>
    <w:p>
      <w:pPr>
        <w:spacing w:line="560" w:lineRule="exact"/>
        <w:ind w:firstLine="600"/>
        <w:jc w:val="both"/>
      </w:pPr>
      <w:r>
        <w:rPr>
          <w:rFonts w:ascii="黑体" w:hAnsi="黑体" w:eastAsia="黑体" w:cs="黑体"/>
          <w:b/>
          <w:color w:val="000000"/>
          <w:sz w:val="30"/>
        </w:rPr>
        <w:t>四、关于财政拨款收支总体情况表的说明</w:t>
      </w:r>
    </w:p>
    <w:p>
      <w:pPr>
        <w:spacing w:line="560" w:lineRule="exact"/>
        <w:ind w:firstLine="600"/>
        <w:jc w:val="both"/>
      </w:pPr>
      <w:r>
        <w:rPr>
          <w:rFonts w:ascii="仿宋" w:hAnsi="仿宋" w:eastAsia="仿宋" w:cs="仿宋"/>
          <w:b w:val="0"/>
          <w:color w:val="000000"/>
          <w:sz w:val="30"/>
        </w:rPr>
        <w:t>天津市西青区中北镇第二幼儿园单位2025年财政拨款收入预算835.78万元，与上年预算相比增加51.49万元，主要原因是幼儿数和教师数均有增加收入包括：一般公共预算拨款收入835.78万元、政府性基金预算拨款收入0万元、上年财政结转结余0万元、国有资本经营预算拨款收入0万元、2025年财政拨款支出预算835.78万元，与上年预算相比增加51.49万元，主要原因是幼儿数和教师数均有增加支出包括：教育支出835.78万元。</w:t>
      </w:r>
    </w:p>
    <w:p>
      <w:pPr>
        <w:spacing w:line="560" w:lineRule="exact"/>
        <w:ind w:firstLine="600"/>
        <w:jc w:val="both"/>
      </w:pPr>
      <w:r>
        <w:rPr>
          <w:rFonts w:ascii="黑体" w:hAnsi="黑体" w:eastAsia="黑体" w:cs="黑体"/>
          <w:b/>
          <w:color w:val="000000"/>
          <w:sz w:val="30"/>
        </w:rPr>
        <w:t>五、关于一般公共预算支出情况表的说明</w:t>
      </w:r>
    </w:p>
    <w:p>
      <w:pPr>
        <w:spacing w:line="560" w:lineRule="exact"/>
        <w:ind w:firstLine="600"/>
        <w:jc w:val="both"/>
      </w:pPr>
      <w:r>
        <w:rPr>
          <w:rFonts w:ascii="楷体" w:hAnsi="楷体" w:eastAsia="楷体" w:cs="楷体"/>
          <w:b/>
          <w:color w:val="000000"/>
          <w:sz w:val="30"/>
        </w:rPr>
        <w:t>（一）总体情况</w:t>
      </w:r>
    </w:p>
    <w:p>
      <w:pPr>
        <w:spacing w:line="560" w:lineRule="exact"/>
        <w:ind w:firstLine="600"/>
        <w:jc w:val="both"/>
      </w:pPr>
      <w:r>
        <w:rPr>
          <w:rFonts w:ascii="仿宋" w:hAnsi="仿宋" w:eastAsia="仿宋" w:cs="仿宋"/>
          <w:b w:val="0"/>
          <w:color w:val="000000"/>
          <w:sz w:val="30"/>
        </w:rPr>
        <w:t>天津市西青区中北镇第二幼儿园单位2025年一般公共预算支出835.78万元(上年784.29万元），与上年预算相比增加51.49万元，主要原因是幼儿数和教师数均有增加</w:t>
      </w:r>
    </w:p>
    <w:p>
      <w:pPr>
        <w:spacing w:line="560" w:lineRule="exact"/>
        <w:ind w:firstLine="600"/>
        <w:jc w:val="both"/>
      </w:pPr>
      <w:r>
        <w:rPr>
          <w:rFonts w:ascii="楷体" w:hAnsi="楷体" w:eastAsia="楷体" w:cs="楷体"/>
          <w:b/>
          <w:color w:val="000000"/>
          <w:sz w:val="30"/>
        </w:rPr>
        <w:t>（二）具体情况</w:t>
      </w:r>
    </w:p>
    <w:p>
      <w:pPr>
        <w:spacing w:line="560" w:lineRule="exact"/>
        <w:ind w:firstLine="600"/>
        <w:jc w:val="both"/>
      </w:pPr>
      <w:r>
        <w:rPr>
          <w:rFonts w:ascii="仿宋" w:hAnsi="仿宋" w:eastAsia="仿宋" w:cs="仿宋"/>
          <w:b w:val="0"/>
          <w:color w:val="000000"/>
          <w:sz w:val="30"/>
        </w:rPr>
        <w:t>1、“教育支出（类）”835.78万元，与上年预算相比增加51.49万元，主要原因是幼儿数和教师数均有增加其中：“普通教育（款）”835.78万元，包括：“学前教育（项）”835.78万元，主要用于人员经费和公用经费。</w:t>
      </w:r>
    </w:p>
    <w:p>
      <w:pPr>
        <w:spacing w:line="560" w:lineRule="exact"/>
        <w:ind w:firstLine="600"/>
        <w:jc w:val="both"/>
      </w:pPr>
      <w:r>
        <w:rPr>
          <w:rFonts w:ascii="黑体" w:hAnsi="黑体" w:eastAsia="黑体" w:cs="黑体"/>
          <w:b/>
          <w:color w:val="000000"/>
          <w:sz w:val="30"/>
        </w:rPr>
        <w:t>六、关于一般公共预算基本支出情况表的说明</w:t>
      </w:r>
    </w:p>
    <w:p>
      <w:pPr>
        <w:spacing w:line="560" w:lineRule="exact"/>
        <w:ind w:firstLine="600"/>
        <w:jc w:val="both"/>
      </w:pPr>
      <w:r>
        <w:rPr>
          <w:rFonts w:ascii="仿宋" w:hAnsi="仿宋" w:eastAsia="仿宋" w:cs="仿宋"/>
          <w:b w:val="0"/>
          <w:color w:val="000000"/>
          <w:sz w:val="30"/>
        </w:rPr>
        <w:t>天津市西青区中北镇第二幼儿园单位2025年一般公共预算基本支出 829.78万元，与上年预算相比增加45.49万元，主要原因是幼儿数和教师数均有增加其中：人员经费 669.17万元，主要包括：基本工资、津贴补贴、绩效工资、机关事业单位基本养老保险缴费、职业年金缴费、职工基本医疗保险缴费、其他社会保障缴费、住房公积金、医疗费、其他工资福利支出、其他对个人和家庭的补助等；</w:t>
      </w:r>
    </w:p>
    <w:p>
      <w:pPr>
        <w:spacing w:line="560" w:lineRule="exact"/>
        <w:ind w:firstLine="600"/>
        <w:jc w:val="both"/>
      </w:pPr>
      <w:r>
        <w:rPr>
          <w:rFonts w:ascii="仿宋" w:hAnsi="仿宋" w:eastAsia="仿宋" w:cs="仿宋"/>
          <w:b w:val="0"/>
          <w:color w:val="000000"/>
          <w:sz w:val="30"/>
        </w:rPr>
        <w:t>公用经费160.61万元，主要包括：办公费、水费、电费、邮电费、取暖费、物业管理费、维修（护）费、工会经费、福利费、其他商品和服务支出等。</w:t>
      </w:r>
    </w:p>
    <w:p>
      <w:pPr>
        <w:spacing w:line="560" w:lineRule="exact"/>
        <w:ind w:firstLine="600"/>
        <w:jc w:val="both"/>
      </w:pPr>
      <w:r>
        <w:rPr>
          <w:rFonts w:ascii="黑体" w:hAnsi="黑体" w:eastAsia="黑体" w:cs="黑体"/>
          <w:b/>
          <w:color w:val="000000"/>
          <w:sz w:val="30"/>
        </w:rPr>
        <w:t>七、关于一般公共预算“三公”经费支出情况表的说明</w:t>
      </w:r>
      <w:r>
        <w:rPr>
          <w:rFonts w:ascii="仿宋" w:hAnsi="仿宋" w:eastAsia="仿宋" w:cs="仿宋"/>
          <w:b w:val="0"/>
          <w:color w:val="000000"/>
          <w:sz w:val="30"/>
        </w:rPr>
        <w:t>2025年一般公共预算“三公”经费安排0万元，与2024年预算相比00.00万元，主要原因是本单位无“三公“经费。</w:t>
      </w:r>
    </w:p>
    <w:p>
      <w:pPr>
        <w:spacing w:line="560" w:lineRule="exact"/>
        <w:ind w:firstLine="600"/>
        <w:jc w:val="both"/>
      </w:pPr>
      <w:r>
        <w:rPr>
          <w:rFonts w:ascii="仿宋" w:hAnsi="仿宋" w:eastAsia="仿宋" w:cs="仿宋"/>
          <w:b w:val="0"/>
          <w:color w:val="000000"/>
          <w:sz w:val="30"/>
        </w:rPr>
        <w:t>具体情况：</w:t>
      </w:r>
    </w:p>
    <w:p>
      <w:pPr>
        <w:spacing w:line="560" w:lineRule="exact"/>
        <w:ind w:firstLine="600"/>
        <w:jc w:val="both"/>
      </w:pPr>
      <w:r>
        <w:rPr>
          <w:rFonts w:ascii="仿宋" w:hAnsi="仿宋" w:eastAsia="仿宋" w:cs="仿宋"/>
          <w:b w:val="0"/>
          <w:color w:val="000000"/>
          <w:sz w:val="30"/>
        </w:rPr>
        <w:t>(一)、2025年因公出国（境）费预算0万元，与2024年预算相比00.00万元，主要原因是本单位无此项预算。</w:t>
      </w:r>
    </w:p>
    <w:p>
      <w:pPr>
        <w:spacing w:line="560" w:lineRule="exact"/>
        <w:ind w:firstLine="600"/>
        <w:jc w:val="both"/>
      </w:pPr>
      <w:r>
        <w:rPr>
          <w:rFonts w:ascii="仿宋" w:hAnsi="仿宋" w:eastAsia="仿宋" w:cs="仿宋"/>
          <w:b w:val="0"/>
          <w:color w:val="000000"/>
          <w:sz w:val="30"/>
        </w:rPr>
        <w:t>(二)、2025年公务用车购置及运行费预算0万元，</w:t>
      </w:r>
    </w:p>
    <w:p>
      <w:pPr>
        <w:spacing w:line="560" w:lineRule="exact"/>
        <w:ind w:firstLine="600"/>
        <w:jc w:val="both"/>
      </w:pPr>
      <w:r>
        <w:rPr>
          <w:rFonts w:ascii="仿宋" w:hAnsi="仿宋" w:eastAsia="仿宋" w:cs="仿宋"/>
          <w:b w:val="0"/>
          <w:color w:val="000000"/>
          <w:sz w:val="30"/>
        </w:rPr>
        <w:t>其中公务用车运行费0万元，与2024年预算相比0万元，主要原因是；公务用车购置费0万元，与2024年预算相比0万元，主要原因是。</w:t>
      </w:r>
    </w:p>
    <w:p>
      <w:pPr>
        <w:spacing w:line="560" w:lineRule="exact"/>
        <w:ind w:firstLine="600"/>
        <w:jc w:val="both"/>
      </w:pPr>
      <w:r>
        <w:rPr>
          <w:rFonts w:ascii="仿宋" w:hAnsi="仿宋" w:eastAsia="仿宋" w:cs="仿宋"/>
          <w:b w:val="0"/>
          <w:color w:val="000000"/>
          <w:sz w:val="30"/>
        </w:rPr>
        <w:t>(三)、2025年公务接待费预算0万元，与2024年预算相比0万元，主要原因是。</w:t>
      </w:r>
    </w:p>
    <w:p>
      <w:pPr>
        <w:spacing w:line="560" w:lineRule="exact"/>
        <w:ind w:firstLine="600"/>
        <w:jc w:val="both"/>
      </w:pPr>
      <w:r>
        <w:rPr>
          <w:rFonts w:ascii="黑体" w:hAnsi="黑体" w:eastAsia="黑体" w:cs="黑体"/>
          <w:b/>
          <w:color w:val="000000"/>
          <w:sz w:val="30"/>
        </w:rPr>
        <w:t>八、关于政府性基金预算支出情况表的说明</w:t>
      </w:r>
    </w:p>
    <w:p>
      <w:pPr>
        <w:spacing w:line="560" w:lineRule="exact"/>
        <w:ind w:firstLine="600"/>
        <w:jc w:val="both"/>
      </w:pPr>
      <w:r>
        <w:rPr>
          <w:rFonts w:ascii="仿宋" w:hAnsi="仿宋" w:eastAsia="仿宋" w:cs="仿宋"/>
          <w:b w:val="0"/>
          <w:color w:val="000000"/>
          <w:sz w:val="30"/>
        </w:rPr>
        <w:t>2025年天津市西青区中北镇第二幼儿园单位预算中没有使用政府性基金预算安排的支出。</w:t>
      </w:r>
    </w:p>
    <w:p>
      <w:pPr>
        <w:spacing w:line="560" w:lineRule="exact"/>
        <w:ind w:firstLine="600"/>
        <w:jc w:val="both"/>
      </w:pPr>
      <w:r>
        <w:rPr>
          <w:rFonts w:ascii="黑体" w:hAnsi="黑体" w:eastAsia="黑体" w:cs="黑体"/>
          <w:b/>
          <w:color w:val="000000"/>
          <w:sz w:val="30"/>
        </w:rPr>
        <w:t>九、关于国有资本经营预算支出情况表的说明</w:t>
      </w:r>
    </w:p>
    <w:p>
      <w:pPr>
        <w:spacing w:line="560" w:lineRule="exact"/>
        <w:ind w:firstLine="600"/>
        <w:jc w:val="both"/>
      </w:pPr>
      <w:r>
        <w:rPr>
          <w:rFonts w:ascii="仿宋" w:hAnsi="仿宋" w:eastAsia="仿宋" w:cs="仿宋"/>
          <w:b w:val="0"/>
          <w:color w:val="000000"/>
          <w:sz w:val="30"/>
        </w:rPr>
        <w:t>2025年天津市西青区中北镇第二幼儿园单位预算中没有使用国有资本经营预算预算安排的支出。</w:t>
      </w:r>
    </w:p>
    <w:p>
      <w:pPr>
        <w:spacing w:line="560" w:lineRule="exact"/>
        <w:ind w:firstLine="600"/>
        <w:jc w:val="both"/>
      </w:pPr>
      <w:r>
        <w:rPr>
          <w:rFonts w:ascii="黑体" w:hAnsi="黑体" w:eastAsia="黑体" w:cs="黑体"/>
          <w:b/>
          <w:color w:val="000000"/>
          <w:sz w:val="30"/>
        </w:rPr>
        <w:t>十、其他重要事项的情况说明</w:t>
      </w:r>
    </w:p>
    <w:p>
      <w:pPr>
        <w:spacing w:line="560" w:lineRule="exact"/>
        <w:ind w:firstLine="600"/>
        <w:jc w:val="both"/>
      </w:pPr>
      <w:r>
        <w:rPr>
          <w:rFonts w:ascii="楷体" w:hAnsi="楷体" w:eastAsia="楷体" w:cs="楷体"/>
          <w:b/>
          <w:color w:val="000000"/>
          <w:sz w:val="30"/>
        </w:rPr>
        <w:t>（一）机关运行经费。</w:t>
      </w:r>
    </w:p>
    <w:p>
      <w:pPr>
        <w:spacing w:line="560" w:lineRule="exact"/>
        <w:ind w:firstLine="600"/>
        <w:jc w:val="both"/>
      </w:pPr>
      <w:r>
        <w:rPr>
          <w:rFonts w:ascii="仿宋" w:hAnsi="仿宋" w:eastAsia="仿宋" w:cs="仿宋"/>
          <w:b w:val="0"/>
          <w:color w:val="000000"/>
          <w:sz w:val="30"/>
        </w:rPr>
        <w:t>本部门2025年未安排机关运行经费预算。</w:t>
      </w:r>
    </w:p>
    <w:p>
      <w:pPr>
        <w:spacing w:line="560" w:lineRule="exact"/>
        <w:ind w:firstLine="600"/>
        <w:jc w:val="both"/>
      </w:pPr>
      <w:r>
        <w:rPr>
          <w:rFonts w:ascii="楷体" w:hAnsi="楷体" w:eastAsia="楷体" w:cs="楷体"/>
          <w:b/>
          <w:color w:val="000000"/>
          <w:sz w:val="30"/>
        </w:rPr>
        <w:t>（二）政府采购情况</w:t>
      </w:r>
      <w:r>
        <w:rPr>
          <w:rFonts w:ascii="仿宋" w:hAnsi="仿宋" w:eastAsia="仿宋" w:cs="仿宋"/>
          <w:b w:val="0"/>
          <w:color w:val="000000"/>
          <w:sz w:val="30"/>
        </w:rPr>
        <w:t>本部门2025年安排政府采购预算13.8920万元，其中：政府采购货物支出0.5万元、政府采购工程支出0万元、政府采购服务支出13.3920万元。主要项目是：办公费0.5万元、教师餐费13.3920万元。</w:t>
      </w:r>
    </w:p>
    <w:p>
      <w:pPr>
        <w:spacing w:line="560" w:lineRule="exact"/>
        <w:ind w:firstLine="600"/>
        <w:jc w:val="both"/>
      </w:pPr>
      <w:r>
        <w:rPr>
          <w:rFonts w:ascii="楷体" w:hAnsi="楷体" w:eastAsia="楷体" w:cs="楷体"/>
          <w:b/>
          <w:color w:val="000000"/>
          <w:sz w:val="30"/>
        </w:rPr>
        <w:t>（三）国有资产占用情况</w:t>
      </w:r>
    </w:p>
    <w:p>
      <w:pPr>
        <w:spacing w:line="560" w:lineRule="exact"/>
        <w:ind w:firstLine="600"/>
        <w:jc w:val="both"/>
      </w:pPr>
      <w:r>
        <w:rPr>
          <w:rFonts w:ascii="仿宋" w:hAnsi="仿宋" w:eastAsia="仿宋" w:cs="仿宋"/>
          <w:b w:val="0"/>
          <w:color w:val="000000"/>
          <w:sz w:val="30"/>
        </w:rPr>
        <w:t>截至2024年12月底，本部门各单位共有车辆0辆、其中：副部（省）级及以上领导用车0辆、主要负责人干部用车0辆、机要通信用车0辆、应急保障用车0辆、执法执勤用车0辆、特种专业技术用车0辆、离退休干部用车0辆、其他用车0辆，其他用车主要包括0。单价（账面原值）100万以上的设备0台（套）。</w:t>
      </w:r>
    </w:p>
    <w:p>
      <w:pPr>
        <w:spacing w:line="560" w:lineRule="exact"/>
        <w:ind w:firstLine="600"/>
        <w:jc w:val="both"/>
      </w:pPr>
      <w:r>
        <w:rPr>
          <w:rFonts w:ascii="楷体" w:hAnsi="楷体" w:eastAsia="楷体" w:cs="楷体"/>
          <w:b/>
          <w:color w:val="000000"/>
          <w:sz w:val="30"/>
        </w:rPr>
        <w:t>（四）预算绩效情况说明。</w:t>
      </w:r>
    </w:p>
    <w:p>
      <w:pPr>
        <w:spacing w:line="560" w:lineRule="exact"/>
        <w:ind w:firstLine="600"/>
        <w:jc w:val="both"/>
      </w:pPr>
      <w:r>
        <w:rPr>
          <w:rFonts w:ascii="仿宋" w:hAnsi="仿宋" w:eastAsia="仿宋" w:cs="仿宋"/>
          <w:b w:val="0"/>
          <w:color w:val="000000"/>
          <w:sz w:val="30"/>
        </w:rPr>
        <w:t>天津市西青区中北镇第二幼儿园单位2025年实行绩效目标管理的项目1个，涉及预算金额6万元。</w:t>
      </w:r>
    </w:p>
    <w:p>
      <w:pPr>
        <w:pageBreakBefore/>
        <w:spacing w:line="560" w:lineRule="exact"/>
        <w:ind w:firstLine="0"/>
        <w:jc w:val="center"/>
      </w:pPr>
      <w:r>
        <w:rPr>
          <w:rFonts w:ascii="黑体" w:hAnsi="黑体" w:eastAsia="黑体" w:cs="黑体"/>
          <w:b/>
          <w:color w:val="000000"/>
          <w:sz w:val="32"/>
        </w:rPr>
        <w:t>第三部分  名词解释</w:t>
      </w:r>
    </w:p>
    <w:p>
      <w:pPr>
        <w:spacing w:line="560" w:lineRule="exact"/>
        <w:ind w:firstLine="560"/>
        <w:jc w:val="both"/>
      </w:pPr>
      <w:r>
        <w:rPr>
          <w:rFonts w:ascii="仿宋" w:hAnsi="仿宋" w:eastAsia="仿宋" w:cs="仿宋"/>
          <w:b/>
          <w:color w:val="000000"/>
          <w:sz w:val="28"/>
        </w:rPr>
        <w:t>一、部门预算:</w:t>
      </w:r>
      <w:r>
        <w:rPr>
          <w:rFonts w:ascii="仿宋" w:hAnsi="仿宋" w:eastAsia="仿宋" w:cs="仿宋"/>
          <w:b w:val="0"/>
          <w:color w:val="000000"/>
          <w:sz w:val="28"/>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eastAsia="仿宋" w:cs="仿宋"/>
          <w:b/>
          <w:color w:val="000000"/>
          <w:sz w:val="28"/>
        </w:rPr>
        <w:t>二、基本支出：</w:t>
      </w:r>
      <w:r>
        <w:rPr>
          <w:rFonts w:ascii="仿宋" w:hAnsi="仿宋" w:eastAsia="仿宋" w:cs="仿宋"/>
          <w:b w:val="0"/>
          <w:color w:val="000000"/>
          <w:sz w:val="28"/>
        </w:rPr>
        <w:t>指为保障机构正常运转、完成日常工作任务而发生的人员支出和公用支出。</w:t>
      </w:r>
    </w:p>
    <w:p>
      <w:pPr>
        <w:spacing w:line="560" w:lineRule="exact"/>
        <w:ind w:firstLine="560"/>
        <w:jc w:val="both"/>
      </w:pPr>
      <w:r>
        <w:rPr>
          <w:rFonts w:ascii="仿宋" w:hAnsi="仿宋" w:eastAsia="仿宋" w:cs="仿宋"/>
          <w:b/>
          <w:color w:val="000000"/>
          <w:sz w:val="28"/>
        </w:rPr>
        <w:t>三、项目支出:</w:t>
      </w:r>
      <w:r>
        <w:rPr>
          <w:rFonts w:ascii="仿宋" w:hAnsi="仿宋" w:eastAsia="仿宋" w:cs="仿宋"/>
          <w:b w:val="0"/>
          <w:color w:val="000000"/>
          <w:sz w:val="28"/>
        </w:rPr>
        <w:t>指在基本支出之外为完成特定行政任务和事业发展目标所发生的支出。</w:t>
      </w:r>
    </w:p>
    <w:p>
      <w:pPr>
        <w:spacing w:line="560" w:lineRule="exact"/>
        <w:ind w:firstLine="560"/>
        <w:jc w:val="both"/>
      </w:pPr>
      <w:r>
        <w:rPr>
          <w:rFonts w:ascii="仿宋" w:hAnsi="仿宋" w:eastAsia="仿宋" w:cs="仿宋"/>
          <w:b/>
          <w:color w:val="000000"/>
          <w:sz w:val="28"/>
        </w:rPr>
        <w:t>四、机关运行经费：</w:t>
      </w:r>
      <w:r>
        <w:rPr>
          <w:rFonts w:ascii="仿宋" w:hAnsi="仿宋" w:eastAsia="仿宋" w:cs="仿宋"/>
          <w:b w:val="0"/>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spacing w:line="2000" w:lineRule="exact"/>
        <w:ind w:firstLine="0"/>
        <w:jc w:val="center"/>
      </w:pPr>
      <w:r>
        <w:rPr>
          <w:rFonts w:ascii="FZXiaoBiaoSong-B05S" w:hAnsi="FZXiaoBiaoSong-B05S" w:eastAsia="FZXiaoBiaoSong-B05S" w:cs="FZXiaoBiaoSong-B05S"/>
          <w:b/>
          <w:color w:val="000000"/>
          <w:sz w:val="48"/>
        </w:rPr>
        <w:t>第四部分   2025年单位预算表</w:t>
      </w:r>
    </w:p>
    <w:p>
      <w:pPr>
        <w:spacing w:line="560" w:lineRule="exact"/>
        <w:ind w:firstLine="0"/>
        <w:jc w:val="both"/>
      </w:pPr>
      <w:r>
        <w:rPr>
          <w:rFonts w:ascii="楷体" w:hAnsi="楷体" w:eastAsia="楷体" w:cs="楷体"/>
          <w:b/>
          <w:color w:val="000000"/>
          <w:sz w:val="30"/>
        </w:rPr>
        <w:t>一、《部门收支总体情况表》</w:t>
      </w:r>
    </w:p>
    <w:p>
      <w:pPr>
        <w:spacing w:line="560" w:lineRule="exact"/>
        <w:ind w:firstLine="0"/>
        <w:jc w:val="both"/>
      </w:pPr>
      <w:r>
        <w:rPr>
          <w:rFonts w:ascii="楷体" w:hAnsi="楷体" w:eastAsia="楷体" w:cs="楷体"/>
          <w:b/>
          <w:color w:val="000000"/>
          <w:sz w:val="30"/>
        </w:rPr>
        <w:t>二、《部门收入总体情况表》</w:t>
      </w:r>
    </w:p>
    <w:p>
      <w:pPr>
        <w:spacing w:line="560" w:lineRule="exact"/>
        <w:ind w:firstLine="0"/>
        <w:jc w:val="both"/>
      </w:pPr>
      <w:r>
        <w:rPr>
          <w:rFonts w:ascii="楷体" w:hAnsi="楷体" w:eastAsia="楷体" w:cs="楷体"/>
          <w:b/>
          <w:color w:val="000000"/>
          <w:sz w:val="30"/>
        </w:rPr>
        <w:t>三、《部门支出总体情况表》</w:t>
      </w:r>
    </w:p>
    <w:p>
      <w:pPr>
        <w:spacing w:line="560" w:lineRule="exact"/>
        <w:ind w:firstLine="0"/>
        <w:jc w:val="both"/>
      </w:pPr>
      <w:r>
        <w:rPr>
          <w:rFonts w:ascii="楷体" w:hAnsi="楷体" w:eastAsia="楷体" w:cs="楷体"/>
          <w:b/>
          <w:color w:val="000000"/>
          <w:sz w:val="30"/>
        </w:rPr>
        <w:t>四、《财政拨款收支总体情况表》</w:t>
      </w:r>
    </w:p>
    <w:p>
      <w:pPr>
        <w:spacing w:line="560" w:lineRule="exact"/>
        <w:ind w:firstLine="0"/>
        <w:jc w:val="both"/>
      </w:pPr>
      <w:r>
        <w:rPr>
          <w:rFonts w:ascii="楷体" w:hAnsi="楷体" w:eastAsia="楷体" w:cs="楷体"/>
          <w:b/>
          <w:color w:val="000000"/>
          <w:sz w:val="30"/>
        </w:rPr>
        <w:t>五、《一般公共预算支出情况表》</w:t>
      </w:r>
    </w:p>
    <w:p>
      <w:pPr>
        <w:spacing w:line="560" w:lineRule="exact"/>
        <w:ind w:firstLine="0"/>
        <w:jc w:val="both"/>
      </w:pPr>
      <w:r>
        <w:rPr>
          <w:rFonts w:ascii="楷体" w:hAnsi="楷体" w:eastAsia="楷体" w:cs="楷体"/>
          <w:b/>
          <w:color w:val="000000"/>
          <w:sz w:val="30"/>
        </w:rPr>
        <w:t>六、《一般公共预算基本支出情况表》</w:t>
      </w:r>
    </w:p>
    <w:p>
      <w:pPr>
        <w:spacing w:line="560" w:lineRule="exact"/>
        <w:ind w:firstLine="0"/>
        <w:jc w:val="both"/>
      </w:pPr>
      <w:r>
        <w:rPr>
          <w:rFonts w:ascii="楷体" w:hAnsi="楷体" w:eastAsia="楷体" w:cs="楷体"/>
          <w:b/>
          <w:color w:val="000000"/>
          <w:sz w:val="30"/>
        </w:rPr>
        <w:t>七、《一般公共预算“三公”经费支出情况表》</w:t>
      </w:r>
    </w:p>
    <w:p>
      <w:pPr>
        <w:spacing w:line="560" w:lineRule="exact"/>
        <w:ind w:firstLine="0"/>
        <w:jc w:val="both"/>
      </w:pPr>
      <w:r>
        <w:rPr>
          <w:rFonts w:ascii="楷体" w:hAnsi="楷体" w:eastAsia="楷体" w:cs="楷体"/>
          <w:b/>
          <w:color w:val="000000"/>
          <w:sz w:val="30"/>
        </w:rPr>
        <w:t>八、《政府性基金预算支出情况表》</w:t>
      </w:r>
    </w:p>
    <w:p>
      <w:pPr>
        <w:spacing w:line="560" w:lineRule="exact"/>
        <w:ind w:firstLine="0"/>
        <w:jc w:val="both"/>
      </w:pPr>
      <w:r>
        <w:rPr>
          <w:rFonts w:ascii="楷体" w:hAnsi="楷体" w:eastAsia="楷体" w:cs="楷体"/>
          <w:b/>
          <w:color w:val="000000"/>
          <w:sz w:val="30"/>
        </w:rPr>
        <w:t>九、《国有资本经营预算支出情况表》</w:t>
      </w:r>
    </w:p>
    <w:p>
      <w:pPr>
        <w:spacing w:line="560" w:lineRule="exact"/>
        <w:ind w:firstLine="0"/>
        <w:jc w:val="both"/>
      </w:pPr>
      <w:r>
        <w:rPr>
          <w:rFonts w:ascii="楷体" w:hAnsi="楷体" w:eastAsia="楷体" w:cs="楷体"/>
          <w:b/>
          <w:color w:val="000000"/>
          <w:sz w:val="30"/>
        </w:rPr>
        <w:t>十、《项目支出表》</w:t>
      </w:r>
    </w:p>
    <w:p>
      <w:pPr>
        <w:spacing w:line="560" w:lineRule="exact"/>
        <w:ind w:firstLine="0"/>
        <w:jc w:val="both"/>
      </w:pPr>
      <w:r>
        <w:rPr>
          <w:rFonts w:ascii="楷体" w:hAnsi="楷体" w:eastAsia="楷体" w:cs="楷体"/>
          <w:b/>
          <w:color w:val="000000"/>
          <w:sz w:val="30"/>
        </w:rPr>
        <w:t>十一、关于空表说明</w:t>
      </w:r>
    </w:p>
    <w:p>
      <w:pPr>
        <w:pageBreakBefore/>
        <w:spacing w:line="560" w:lineRule="exact"/>
        <w:ind w:firstLine="0"/>
        <w:jc w:val="both"/>
      </w:pPr>
      <w:r>
        <w:rPr>
          <w:rFonts w:ascii="仿宋" w:hAnsi="仿宋" w:eastAsia="仿宋" w:cs="仿宋"/>
          <w:b/>
          <w:color w:val="000000"/>
          <w:sz w:val="30"/>
        </w:rPr>
        <w:t>十一、关于空表的说明</w:t>
      </w:r>
    </w:p>
    <w:p>
      <w:pPr>
        <w:spacing w:line="560" w:lineRule="exact"/>
        <w:ind w:firstLine="600"/>
        <w:jc w:val="both"/>
      </w:pPr>
      <w:r>
        <w:rPr>
          <w:rFonts w:ascii="仿宋" w:hAnsi="仿宋" w:eastAsia="仿宋" w:cs="仿宋"/>
          <w:b w:val="0"/>
          <w:color w:val="000000"/>
          <w:sz w:val="30"/>
        </w:rPr>
        <w:t>本单位2025年一般公共预算“三公”经费支出情况表为空表</w:t>
      </w:r>
    </w:p>
    <w:p>
      <w:pPr>
        <w:spacing w:line="560" w:lineRule="exact"/>
        <w:ind w:firstLine="600"/>
        <w:jc w:val="both"/>
      </w:pPr>
      <w:r>
        <w:rPr>
          <w:rFonts w:ascii="仿宋" w:hAnsi="仿宋" w:eastAsia="仿宋" w:cs="仿宋"/>
          <w:b w:val="0"/>
          <w:color w:val="000000"/>
          <w:sz w:val="30"/>
        </w:rPr>
        <w:t>本单位2025年政府性基金预算支出情况表为空表</w:t>
      </w:r>
    </w:p>
    <w:p>
      <w:pPr>
        <w:spacing w:line="560" w:lineRule="exact"/>
        <w:ind w:firstLine="600"/>
        <w:jc w:val="both"/>
      </w:pPr>
      <w:r>
        <w:rPr>
          <w:rFonts w:ascii="仿宋" w:hAnsi="仿宋" w:eastAsia="仿宋" w:cs="仿宋"/>
          <w:b w:val="0"/>
          <w:color w:val="000000"/>
          <w:sz w:val="30"/>
        </w:rPr>
        <w:t>本单位2025年国有资本经营预算支出情况表为空表</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iaoBiaoSong-B05S">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4730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2025-03-12T02:22:00Z</dcterms:created>
  <dc:creator>Apache POI</dc:creator>
  <cp:lastModifiedBy>k</cp:lastModifiedBy>
  <dcterms:modified xsi:type="dcterms:W3CDTF">2025-03-12T02:09:13Z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B91861D9DAEA4659A4CDD615B3C65F44</vt:lpwstr>
  </property>
</Properties>
</file>