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天津市西青区大寺镇龙居幼儿园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办人民满意的幼儿园教育。为学龄前儿童提供保育和教育服务。</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天津市西青区大寺镇龙居幼儿园部门内设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纳入天津市西青区大寺镇龙居幼儿园单位2025年部门预算编制范围的预算单位包括：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1.天津市西青区大寺镇龙居幼儿园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按照综合预算的原则，天津市西青区大寺镇龙居幼儿园单位所有收入和支出均纳入部门预算管理。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一般公共预算拨款收入1,248.77万元、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教育支出1,248.77万元。</w:t>
      </w:r>
      <w:r>
        <w:rPr>
          <w:rFonts w:ascii="仿宋" w:hAnsi="仿宋" w:cs="仿宋" w:eastAsia="仿宋"/>
          <w:sz w:val="30"/>
          <w:b w:val="off"/>
          <w:color w:val="000000"/>
        </w:rPr>
        <w:t>天津市西青区大寺镇龙居幼儿园单位2025年收支总预算</w:t>
      </w:r>
      <w:r>
        <w:rPr>
          <w:rFonts w:ascii="仿宋" w:hAnsi="仿宋" w:cs="仿宋" w:eastAsia="仿宋"/>
          <w:sz w:val="30"/>
          <w:b w:val="off"/>
          <w:color w:val="000000"/>
        </w:rPr>
        <w:t>1,248.77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天津市西青区大寺镇龙居幼儿园单位2025年部门预算收入1,248.77万元</w:t>
      </w:r>
      <w:r>
        <w:rPr>
          <w:rFonts w:ascii="仿宋" w:hAnsi="仿宋" w:cs="仿宋" w:eastAsia="仿宋"/>
          <w:sz w:val="30"/>
          <w:b w:val="off"/>
          <w:color w:val="000000"/>
        </w:rPr>
        <w:t>，与上年预算相比减少38.51万元，主要原因是</w:t>
      </w:r>
      <w:r>
        <w:rPr>
          <w:rFonts w:ascii="仿宋" w:hAnsi="仿宋" w:cs="仿宋" w:eastAsia="仿宋"/>
          <w:sz w:val="30"/>
          <w:b w:val="off"/>
          <w:color w:val="000000"/>
        </w:rPr>
        <w:t>由于本年人员减少，导致本年人员经费减少，本年增加了物业管理费非标准支出的预算，公用经费增加。故，本单位总体支出减少。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一般公共预算1,248.77万元，占100.00%；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天津市西青区大寺镇龙居幼儿园单位2025年支出预算1,248.77万元</w:t>
      </w:r>
      <w:r>
        <w:rPr>
          <w:rFonts w:ascii="仿宋" w:hAnsi="仿宋" w:cs="仿宋" w:eastAsia="仿宋"/>
          <w:sz w:val="30"/>
          <w:b w:val="off"/>
          <w:color w:val="000000"/>
        </w:rPr>
        <w:t>，与上年预算相比减少38.51万元，主要原因是</w:t>
      </w:r>
      <w:r>
        <w:rPr>
          <w:rFonts w:ascii="仿宋" w:hAnsi="仿宋" w:cs="仿宋" w:eastAsia="仿宋"/>
          <w:sz w:val="30"/>
          <w:b w:val="off"/>
          <w:color w:val="000000"/>
        </w:rPr>
        <w:t>由于本年人员减少，导致本年人员经费减少，本年增加了物业管理费非标准支出的预算，公用经费增加。故，本单位总体支出减少。</w:t>
      </w:r>
      <w:r>
        <w:rPr>
          <w:rFonts w:ascii="仿宋" w:hAnsi="仿宋" w:cs="仿宋" w:eastAsia="仿宋"/>
          <w:sz w:val="30"/>
          <w:b w:val="off"/>
          <w:color w:val="000000"/>
        </w:rPr>
        <w:t>其中：</w:t>
      </w:r>
      <w:r>
        <w:rPr>
          <w:rFonts w:ascii="仿宋" w:hAnsi="仿宋" w:cs="仿宋" w:eastAsia="仿宋"/>
          <w:sz w:val="30"/>
          <w:b w:val="off"/>
          <w:color w:val="000000"/>
        </w:rPr>
        <w:t>基本支出1,248.77万元，占100.00%；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天津市西青区大寺镇龙居幼儿园单位2025年财政拨款收入预算1,248.77万元</w:t>
      </w:r>
      <w:r>
        <w:rPr>
          <w:rFonts w:ascii="仿宋" w:hAnsi="仿宋" w:cs="仿宋" w:eastAsia="仿宋"/>
          <w:sz w:val="30"/>
          <w:b w:val="off"/>
          <w:color w:val="000000"/>
        </w:rPr>
        <w:t>，与上年预算相比减少38.51万元，主要原因是</w:t>
      </w:r>
      <w:r>
        <w:rPr>
          <w:rFonts w:ascii="仿宋" w:hAnsi="仿宋" w:cs="仿宋" w:eastAsia="仿宋"/>
          <w:sz w:val="30"/>
          <w:b w:val="off"/>
          <w:color w:val="000000"/>
        </w:rPr>
        <w:t>由于本年人员减少，导致本年人员经费减少，本年增加了物业管理费非标准支出的预算，公用经费增加。故，本单位总体支出减少。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一般公共预算拨款收入1,248.77万元、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2025年财政拨款支出预算1,248.77万元</w:t>
      </w:r>
      <w:r>
        <w:rPr>
          <w:rFonts w:ascii="仿宋" w:hAnsi="仿宋" w:cs="仿宋" w:eastAsia="仿宋"/>
          <w:sz w:val="30"/>
          <w:b w:val="off"/>
          <w:color w:val="000000"/>
        </w:rPr>
        <w:t>，与上年预算相比减少38.51万元，主要原因是</w:t>
      </w:r>
      <w:r>
        <w:rPr>
          <w:rFonts w:ascii="仿宋" w:hAnsi="仿宋" w:cs="仿宋" w:eastAsia="仿宋"/>
          <w:sz w:val="30"/>
          <w:b w:val="off"/>
          <w:color w:val="000000"/>
        </w:rPr>
        <w:t>由于本年人员减少，导致本年人员经费减少，本年增加了物业管理费非标准支出的预算，公用经费增加。故，本单位总体支出减少。</w:t>
      </w:r>
      <w:r>
        <w:rPr>
          <w:rFonts w:ascii="仿宋" w:hAnsi="仿宋" w:cs="仿宋" w:eastAsia="仿宋"/>
          <w:sz w:val="30"/>
          <w:b w:val="off"/>
          <w:color w:val="000000"/>
        </w:rPr>
        <w:t>支出包括：</w:t>
      </w:r>
      <w:r>
        <w:rPr>
          <w:rFonts w:ascii="仿宋" w:hAnsi="仿宋" w:cs="仿宋" w:eastAsia="仿宋"/>
          <w:sz w:val="30"/>
          <w:b w:val="off"/>
          <w:color w:val="000000"/>
        </w:rPr>
        <w:t>教育支出1,248.77万元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天津市西青区大寺镇龙居幼儿园单位2025年一般公共预算支出1,248.77万元</w:t>
      </w:r>
      <w:r>
        <w:rPr>
          <w:rFonts w:ascii="仿宋" w:hAnsi="仿宋" w:cs="仿宋" w:eastAsia="仿宋"/>
          <w:sz w:val="30"/>
          <w:b w:val="off"/>
          <w:color w:val="000000"/>
        </w:rPr>
        <w:t>(上年</w:t>
      </w:r>
      <w:r>
        <w:rPr>
          <w:rFonts w:ascii="仿宋" w:hAnsi="仿宋" w:cs="仿宋" w:eastAsia="仿宋"/>
          <w:sz w:val="30"/>
          <w:b w:val="off"/>
          <w:color w:val="000000"/>
        </w:rPr>
        <w:t>1,287.28</w:t>
      </w:r>
      <w:r>
        <w:rPr>
          <w:rFonts w:ascii="仿宋" w:hAnsi="仿宋" w:cs="仿宋" w:eastAsia="仿宋"/>
          <w:sz w:val="30"/>
          <w:b w:val="off"/>
          <w:color w:val="000000"/>
        </w:rPr>
        <w:t>万元）</w:t>
      </w:r>
      <w:r>
        <w:rPr>
          <w:rFonts w:ascii="仿宋" w:hAnsi="仿宋" w:cs="仿宋" w:eastAsia="仿宋"/>
          <w:sz w:val="30"/>
          <w:b w:val="off"/>
          <w:color w:val="000000"/>
        </w:rPr>
        <w:t>，与上年预算相比减少38.51万元，主要原因是</w:t>
      </w:r>
      <w:r>
        <w:rPr>
          <w:rFonts w:ascii="仿宋" w:hAnsi="仿宋" w:cs="仿宋" w:eastAsia="仿宋"/>
          <w:sz w:val="30"/>
          <w:b w:val="off"/>
          <w:color w:val="000000"/>
        </w:rPr>
        <w:t>由于本年人员减少，导致本年人员经费减少，本年增加了物业管理费非标准支出的预算，公用经费增加。故，本单位总体支出减少。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1、“教育支出（类）”1,248.77万元</w:t>
      </w:r>
      <w:r>
        <w:rPr>
          <w:rFonts w:ascii="仿宋" w:hAnsi="仿宋" w:cs="仿宋" w:eastAsia="仿宋"/>
          <w:sz w:val="30"/>
          <w:b w:val="off"/>
          <w:color w:val="000000"/>
        </w:rPr>
        <w:t>，与上年预算相比增加75.70万元，主要原因是</w:t>
      </w:r>
      <w:r>
        <w:rPr>
          <w:rFonts w:ascii="仿宋" w:hAnsi="仿宋" w:cs="仿宋" w:eastAsia="仿宋"/>
          <w:sz w:val="30"/>
          <w:b w:val="off"/>
          <w:color w:val="000000"/>
        </w:rPr>
        <w:t>由于2024年底支付功能分类统一进行了支付更正的调整，所以本年教育支出增加。</w:t>
      </w:r>
      <w:r>
        <w:rPr>
          <w:rFonts w:ascii="仿宋" w:hAnsi="仿宋" w:cs="仿宋" w:eastAsia="仿宋"/>
          <w:sz w:val="30"/>
          <w:b w:val="off"/>
          <w:color w:val="000000"/>
        </w:rPr>
        <w:t>其中：</w:t>
      </w:r>
      <w:r>
        <w:rPr>
          <w:rFonts w:ascii="仿宋" w:hAnsi="仿宋" w:cs="仿宋" w:eastAsia="仿宋"/>
          <w:sz w:val="30"/>
          <w:b w:val="off"/>
          <w:color w:val="000000"/>
        </w:rPr>
        <w:t>“普通教育（款）”1,248.77万元，包括：</w:t>
      </w:r>
      <w:r>
        <w:rPr>
          <w:rFonts w:ascii="仿宋" w:hAnsi="仿宋" w:cs="仿宋" w:eastAsia="仿宋"/>
          <w:sz w:val="30"/>
          <w:b w:val="off"/>
          <w:color w:val="000000"/>
        </w:rPr>
        <w:t>“学前教育（项）”1,248.77万元，</w:t>
      </w:r>
      <w:r>
        <w:rPr>
          <w:rFonts w:ascii="仿宋" w:hAnsi="仿宋" w:cs="仿宋" w:eastAsia="仿宋"/>
          <w:sz w:val="30"/>
          <w:b w:val="off"/>
          <w:color w:val="000000"/>
        </w:rPr>
        <w:t>主要用于</w:t>
      </w:r>
      <w:r>
        <w:rPr>
          <w:rFonts w:ascii="仿宋" w:hAnsi="仿宋" w:cs="仿宋" w:eastAsia="仿宋"/>
          <w:sz w:val="30"/>
          <w:b w:val="off"/>
          <w:color w:val="000000"/>
        </w:rPr>
        <w:t>用于工资福利支出、商品和服务支出、对个人和家庭的补助支出、资本性支出。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天津市西青区大寺镇龙居幼儿园单位2025年一般公共预算基本支出 1,248.77万元</w:t>
      </w:r>
      <w:r>
        <w:rPr>
          <w:rFonts w:ascii="仿宋" w:hAnsi="仿宋" w:cs="仿宋" w:eastAsia="仿宋"/>
          <w:sz w:val="30"/>
          <w:b w:val="off"/>
          <w:color w:val="000000"/>
        </w:rPr>
        <w:t>，与上年预算相比减少38.51万元，主要原因是</w:t>
      </w:r>
      <w:r>
        <w:rPr>
          <w:rFonts w:ascii="仿宋" w:hAnsi="仿宋" w:cs="仿宋" w:eastAsia="仿宋"/>
          <w:sz w:val="30"/>
          <w:b w:val="off"/>
          <w:color w:val="000000"/>
        </w:rPr>
        <w:t>本年人员减少，导致本年人员经费减少。</w:t>
      </w:r>
      <w:r>
        <w:rPr>
          <w:rFonts w:ascii="仿宋" w:hAnsi="仿宋" w:cs="仿宋" w:eastAsia="仿宋"/>
          <w:sz w:val="30"/>
          <w:b w:val="off"/>
          <w:color w:val="000000"/>
        </w:rPr>
        <w:t>其中：</w:t>
      </w:r>
      <w:r>
        <w:rPr>
          <w:rFonts w:ascii="仿宋" w:hAnsi="仿宋" w:cs="仿宋" w:eastAsia="仿宋"/>
          <w:sz w:val="30"/>
          <w:b w:val="off"/>
          <w:color w:val="000000"/>
        </w:rPr>
        <w:t>人员经费 1,010.74万元，主要包括：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公用经费238.03万元，主要包括：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劳务费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2025年天津市西青区大寺镇龙居幼儿园单位预算中没有使用政府性基金预算安排的支出。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2025年天津市西青区大寺镇龙居幼儿园单位预算中没有使用国有资本经营预算安排的支出。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天津市西青区大寺镇龙居幼儿园单位2025年实行绩效目标管理的项目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2025-03-25T01:12:06Z</dcterms:created>
  <dc:creator>Apache POI</dc:creator>
</cp:coreProperties>
</file>