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A2401">
      <w:pPr>
        <w:spacing w:line="2600" w:lineRule="exact"/>
        <w:ind w:firstLine="0"/>
        <w:jc w:val="center"/>
      </w:pPr>
      <w:r>
        <w:rPr>
          <w:rFonts w:ascii="FZXiaoBiaoSong-B05S" w:hAnsi="FZXiaoBiaoSong-B05S" w:eastAsia="FZXiaoBiaoSong-B05S" w:cs="FZXiaoBiaoSong-B05S"/>
          <w:b/>
          <w:color w:val="000000"/>
          <w:sz w:val="48"/>
        </w:rPr>
        <w:t>天津市西青区中北镇综合便民服务中心</w:t>
      </w:r>
      <w:r>
        <w:rPr>
          <w:rFonts w:ascii="FZXiaoBiaoSong-B05S" w:hAnsi="FZXiaoBiaoSong-B05S" w:eastAsia="FZXiaoBiaoSong-B05S" w:cs="FZXiaoBiaoSong-B05S"/>
          <w:b/>
          <w:color w:val="000000"/>
          <w:sz w:val="48"/>
        </w:rPr>
        <w:br w:type="textWrapping"/>
      </w:r>
      <w:r>
        <w:rPr>
          <w:rFonts w:ascii="FZXiaoBiaoSong-B05S" w:hAnsi="FZXiaoBiaoSong-B05S" w:eastAsia="FZXiaoBiaoSong-B05S" w:cs="FZXiaoBiaoSong-B05S"/>
          <w:b/>
          <w:color w:val="000000"/>
          <w:sz w:val="48"/>
        </w:rPr>
        <w:t>2025年度单位预算公开</w:t>
      </w:r>
    </w:p>
    <w:p w14:paraId="7B70AAA8">
      <w:pPr>
        <w:pageBreakBefore/>
        <w:spacing w:line="560" w:lineRule="exact"/>
        <w:ind w:firstLine="0"/>
        <w:jc w:val="center"/>
      </w:pPr>
      <w:r>
        <w:rPr>
          <w:rFonts w:ascii="黑体" w:hAnsi="黑体" w:eastAsia="黑体" w:cs="黑体"/>
          <w:b/>
          <w:color w:val="000000"/>
          <w:sz w:val="44"/>
        </w:rPr>
        <w:t>目    录</w:t>
      </w:r>
    </w:p>
    <w:p w14:paraId="18A6AE04">
      <w:pPr>
        <w:spacing w:line="560" w:lineRule="exact"/>
        <w:ind w:firstLine="900"/>
        <w:jc w:val="both"/>
      </w:pPr>
      <w:r>
        <w:rPr>
          <w:rFonts w:ascii="仿宋" w:hAnsi="仿宋" w:eastAsia="仿宋" w:cs="仿宋"/>
          <w:b/>
          <w:color w:val="000000"/>
          <w:sz w:val="30"/>
        </w:rPr>
        <w:t>第一部分  概况</w:t>
      </w:r>
    </w:p>
    <w:p w14:paraId="577C1FB1">
      <w:pPr>
        <w:spacing w:line="560" w:lineRule="exact"/>
        <w:ind w:firstLine="900"/>
        <w:jc w:val="both"/>
      </w:pPr>
      <w:r>
        <w:rPr>
          <w:rFonts w:ascii="仿宋" w:hAnsi="仿宋" w:eastAsia="仿宋" w:cs="仿宋"/>
          <w:b w:val="0"/>
          <w:color w:val="000000"/>
          <w:sz w:val="30"/>
        </w:rPr>
        <w:t>一、主要职责</w:t>
      </w:r>
    </w:p>
    <w:p w14:paraId="629042E9">
      <w:pPr>
        <w:spacing w:line="560" w:lineRule="exact"/>
        <w:ind w:firstLine="900"/>
        <w:jc w:val="both"/>
      </w:pPr>
      <w:r>
        <w:rPr>
          <w:rFonts w:ascii="仿宋" w:hAnsi="仿宋" w:eastAsia="仿宋" w:cs="仿宋"/>
          <w:b w:val="0"/>
          <w:color w:val="000000"/>
          <w:sz w:val="30"/>
        </w:rPr>
        <w:t>二、机构设置情况</w:t>
      </w:r>
    </w:p>
    <w:p w14:paraId="240919BD">
      <w:pPr>
        <w:spacing w:line="560" w:lineRule="exact"/>
        <w:ind w:firstLine="900"/>
        <w:jc w:val="both"/>
      </w:pPr>
      <w:r>
        <w:rPr>
          <w:rFonts w:ascii="仿宋" w:hAnsi="仿宋" w:eastAsia="仿宋" w:cs="仿宋"/>
          <w:b/>
          <w:color w:val="000000"/>
          <w:sz w:val="30"/>
        </w:rPr>
        <w:t>第二部分  2025年单位情况说明</w:t>
      </w:r>
    </w:p>
    <w:p w14:paraId="6BE6EA16">
      <w:pPr>
        <w:spacing w:line="560" w:lineRule="exact"/>
        <w:ind w:firstLine="900"/>
        <w:jc w:val="both"/>
      </w:pPr>
      <w:r>
        <w:rPr>
          <w:rFonts w:ascii="仿宋" w:hAnsi="仿宋" w:eastAsia="仿宋" w:cs="仿宋"/>
          <w:b w:val="0"/>
          <w:color w:val="000000"/>
          <w:sz w:val="30"/>
        </w:rPr>
        <w:t>一、关于收支总体情况表的说明</w:t>
      </w:r>
    </w:p>
    <w:p w14:paraId="5B7A7F3B">
      <w:pPr>
        <w:spacing w:line="560" w:lineRule="exact"/>
        <w:ind w:firstLine="900"/>
        <w:jc w:val="both"/>
      </w:pPr>
      <w:r>
        <w:rPr>
          <w:rFonts w:ascii="仿宋" w:hAnsi="仿宋" w:eastAsia="仿宋" w:cs="仿宋"/>
          <w:b w:val="0"/>
          <w:color w:val="000000"/>
          <w:sz w:val="30"/>
        </w:rPr>
        <w:t>二、关于收入总体情况表的说明</w:t>
      </w:r>
    </w:p>
    <w:p w14:paraId="06CBAD28">
      <w:pPr>
        <w:spacing w:line="560" w:lineRule="exact"/>
        <w:ind w:firstLine="900"/>
        <w:jc w:val="both"/>
      </w:pPr>
      <w:r>
        <w:rPr>
          <w:rFonts w:ascii="仿宋" w:hAnsi="仿宋" w:eastAsia="仿宋" w:cs="仿宋"/>
          <w:b w:val="0"/>
          <w:color w:val="000000"/>
          <w:sz w:val="30"/>
        </w:rPr>
        <w:t>三、关于支出总体情况表的说明</w:t>
      </w:r>
    </w:p>
    <w:p w14:paraId="24811ACB">
      <w:pPr>
        <w:spacing w:line="560" w:lineRule="exact"/>
        <w:ind w:firstLine="900"/>
        <w:jc w:val="both"/>
      </w:pPr>
      <w:r>
        <w:rPr>
          <w:rFonts w:ascii="仿宋" w:hAnsi="仿宋" w:eastAsia="仿宋" w:cs="仿宋"/>
          <w:b w:val="0"/>
          <w:color w:val="000000"/>
          <w:sz w:val="30"/>
        </w:rPr>
        <w:t>四、关于财政拨款收支总体情况表的说明</w:t>
      </w:r>
    </w:p>
    <w:p w14:paraId="1A503202">
      <w:pPr>
        <w:spacing w:line="560" w:lineRule="exact"/>
        <w:ind w:firstLine="900"/>
        <w:jc w:val="both"/>
      </w:pPr>
      <w:r>
        <w:rPr>
          <w:rFonts w:ascii="仿宋" w:hAnsi="仿宋" w:eastAsia="仿宋" w:cs="仿宋"/>
          <w:b w:val="0"/>
          <w:color w:val="000000"/>
          <w:sz w:val="30"/>
        </w:rPr>
        <w:t>五、关于一般公共预算支出情况表的说明</w:t>
      </w:r>
    </w:p>
    <w:p w14:paraId="623621D7">
      <w:pPr>
        <w:spacing w:line="560" w:lineRule="exact"/>
        <w:ind w:firstLine="900"/>
        <w:jc w:val="both"/>
      </w:pPr>
      <w:r>
        <w:rPr>
          <w:rFonts w:ascii="仿宋" w:hAnsi="仿宋" w:eastAsia="仿宋" w:cs="仿宋"/>
          <w:b w:val="0"/>
          <w:color w:val="000000"/>
          <w:sz w:val="30"/>
        </w:rPr>
        <w:t>六、关于一般公共预算基本支出情况表的说明</w:t>
      </w:r>
    </w:p>
    <w:p w14:paraId="5102D891">
      <w:pPr>
        <w:spacing w:line="560" w:lineRule="exact"/>
        <w:ind w:firstLine="900"/>
        <w:jc w:val="both"/>
      </w:pPr>
      <w:r>
        <w:rPr>
          <w:rFonts w:ascii="仿宋" w:hAnsi="仿宋" w:eastAsia="仿宋" w:cs="仿宋"/>
          <w:b w:val="0"/>
          <w:color w:val="000000"/>
          <w:sz w:val="30"/>
        </w:rPr>
        <w:t>七、关于一般公共预算“三公”经费支出情况表的说明</w:t>
      </w:r>
    </w:p>
    <w:p w14:paraId="2419FEAD">
      <w:pPr>
        <w:spacing w:line="560" w:lineRule="exact"/>
        <w:ind w:firstLine="900"/>
        <w:jc w:val="both"/>
      </w:pPr>
      <w:r>
        <w:rPr>
          <w:rFonts w:ascii="仿宋" w:hAnsi="仿宋" w:eastAsia="仿宋" w:cs="仿宋"/>
          <w:b w:val="0"/>
          <w:color w:val="000000"/>
          <w:sz w:val="30"/>
        </w:rPr>
        <w:t>八、关于政府性基金预算支出情况表的说明</w:t>
      </w:r>
    </w:p>
    <w:p w14:paraId="05071E5D">
      <w:pPr>
        <w:spacing w:line="560" w:lineRule="exact"/>
        <w:ind w:firstLine="900"/>
        <w:jc w:val="both"/>
      </w:pPr>
      <w:r>
        <w:rPr>
          <w:rFonts w:ascii="仿宋" w:hAnsi="仿宋" w:eastAsia="仿宋" w:cs="仿宋"/>
          <w:b w:val="0"/>
          <w:color w:val="000000"/>
          <w:sz w:val="30"/>
        </w:rPr>
        <w:t>九、关于国有资本经营预算支出情况表的说明</w:t>
      </w:r>
    </w:p>
    <w:p w14:paraId="5A54A9CF">
      <w:pPr>
        <w:spacing w:line="560" w:lineRule="exact"/>
        <w:ind w:firstLine="900"/>
        <w:jc w:val="both"/>
      </w:pPr>
      <w:r>
        <w:rPr>
          <w:rFonts w:ascii="仿宋" w:hAnsi="仿宋" w:eastAsia="仿宋" w:cs="仿宋"/>
          <w:b w:val="0"/>
          <w:color w:val="000000"/>
          <w:sz w:val="30"/>
        </w:rPr>
        <w:t>十、其他重要事项的情况说明</w:t>
      </w:r>
    </w:p>
    <w:p w14:paraId="71F5C9AC">
      <w:pPr>
        <w:spacing w:line="560" w:lineRule="exact"/>
        <w:ind w:firstLine="900"/>
        <w:jc w:val="both"/>
      </w:pPr>
      <w:r>
        <w:rPr>
          <w:rFonts w:ascii="仿宋" w:hAnsi="仿宋" w:eastAsia="仿宋" w:cs="仿宋"/>
          <w:b/>
          <w:color w:val="000000"/>
          <w:sz w:val="30"/>
        </w:rPr>
        <w:t>第三部分  名词解释</w:t>
      </w:r>
    </w:p>
    <w:p w14:paraId="20049A8B">
      <w:pPr>
        <w:spacing w:line="560" w:lineRule="exact"/>
        <w:ind w:firstLine="900"/>
        <w:jc w:val="both"/>
      </w:pPr>
      <w:r>
        <w:rPr>
          <w:rFonts w:ascii="仿宋" w:hAnsi="仿宋" w:eastAsia="仿宋" w:cs="仿宋"/>
          <w:b/>
          <w:color w:val="000000"/>
          <w:sz w:val="30"/>
        </w:rPr>
        <w:t>第四部分  2025年单位预算表</w:t>
      </w:r>
    </w:p>
    <w:p w14:paraId="1775B727">
      <w:pPr>
        <w:spacing w:line="560" w:lineRule="exact"/>
        <w:ind w:firstLine="900"/>
        <w:jc w:val="both"/>
      </w:pPr>
      <w:r>
        <w:rPr>
          <w:rFonts w:ascii="仿宋" w:hAnsi="仿宋" w:eastAsia="仿宋" w:cs="仿宋"/>
          <w:b w:val="0"/>
          <w:color w:val="000000"/>
          <w:sz w:val="30"/>
        </w:rPr>
        <w:t>一、部门收支总体情况表</w:t>
      </w:r>
    </w:p>
    <w:p w14:paraId="6F3A5558">
      <w:pPr>
        <w:spacing w:line="560" w:lineRule="exact"/>
        <w:ind w:firstLine="900"/>
        <w:jc w:val="both"/>
      </w:pPr>
      <w:r>
        <w:rPr>
          <w:rFonts w:ascii="仿宋" w:hAnsi="仿宋" w:eastAsia="仿宋" w:cs="仿宋"/>
          <w:b w:val="0"/>
          <w:color w:val="000000"/>
          <w:sz w:val="30"/>
        </w:rPr>
        <w:t>二、部门收入总体情况表</w:t>
      </w:r>
    </w:p>
    <w:p w14:paraId="35EE3971">
      <w:pPr>
        <w:spacing w:line="560" w:lineRule="exact"/>
        <w:ind w:firstLine="900"/>
        <w:jc w:val="both"/>
      </w:pPr>
      <w:r>
        <w:rPr>
          <w:rFonts w:ascii="仿宋" w:hAnsi="仿宋" w:eastAsia="仿宋" w:cs="仿宋"/>
          <w:b w:val="0"/>
          <w:color w:val="000000"/>
          <w:sz w:val="30"/>
        </w:rPr>
        <w:t>三、部门支出总体情况表</w:t>
      </w:r>
    </w:p>
    <w:p w14:paraId="4971F1BC">
      <w:pPr>
        <w:spacing w:line="560" w:lineRule="exact"/>
        <w:ind w:firstLine="900"/>
        <w:jc w:val="both"/>
      </w:pPr>
      <w:r>
        <w:rPr>
          <w:rFonts w:ascii="仿宋" w:hAnsi="仿宋" w:eastAsia="仿宋" w:cs="仿宋"/>
          <w:b w:val="0"/>
          <w:color w:val="000000"/>
          <w:sz w:val="30"/>
        </w:rPr>
        <w:t>四、财政拨款收支总体情况表</w:t>
      </w:r>
    </w:p>
    <w:p w14:paraId="45DC5722">
      <w:pPr>
        <w:spacing w:line="560" w:lineRule="exact"/>
        <w:ind w:firstLine="900"/>
        <w:jc w:val="both"/>
      </w:pPr>
      <w:r>
        <w:rPr>
          <w:rFonts w:ascii="仿宋" w:hAnsi="仿宋" w:eastAsia="仿宋" w:cs="仿宋"/>
          <w:b w:val="0"/>
          <w:color w:val="000000"/>
          <w:sz w:val="30"/>
        </w:rPr>
        <w:t>五、一般公共预算支出情况表</w:t>
      </w:r>
    </w:p>
    <w:p w14:paraId="15AF605F">
      <w:pPr>
        <w:spacing w:line="560" w:lineRule="exact"/>
        <w:ind w:firstLine="900"/>
        <w:jc w:val="both"/>
      </w:pPr>
      <w:r>
        <w:rPr>
          <w:rFonts w:ascii="仿宋" w:hAnsi="仿宋" w:eastAsia="仿宋" w:cs="仿宋"/>
          <w:b w:val="0"/>
          <w:color w:val="000000"/>
          <w:sz w:val="30"/>
        </w:rPr>
        <w:t>六、一般公共预算基本支出情况表</w:t>
      </w:r>
    </w:p>
    <w:p w14:paraId="7E6E3DF9">
      <w:pPr>
        <w:spacing w:line="560" w:lineRule="exact"/>
        <w:ind w:firstLine="900"/>
        <w:jc w:val="both"/>
      </w:pPr>
      <w:r>
        <w:rPr>
          <w:rFonts w:ascii="仿宋" w:hAnsi="仿宋" w:eastAsia="仿宋" w:cs="仿宋"/>
          <w:b w:val="0"/>
          <w:color w:val="000000"/>
          <w:sz w:val="30"/>
        </w:rPr>
        <w:t>七、一般公共预算“三公”经费支出情况表</w:t>
      </w:r>
    </w:p>
    <w:p w14:paraId="20AF0C92">
      <w:pPr>
        <w:spacing w:line="560" w:lineRule="exact"/>
        <w:ind w:firstLine="900"/>
        <w:jc w:val="both"/>
      </w:pPr>
      <w:r>
        <w:rPr>
          <w:rFonts w:ascii="仿宋" w:hAnsi="仿宋" w:eastAsia="仿宋" w:cs="仿宋"/>
          <w:b w:val="0"/>
          <w:color w:val="000000"/>
          <w:sz w:val="30"/>
        </w:rPr>
        <w:t>八、政府性基金预算支出情况表</w:t>
      </w:r>
    </w:p>
    <w:p w14:paraId="6C267647">
      <w:pPr>
        <w:spacing w:line="560" w:lineRule="exact"/>
        <w:ind w:firstLine="900"/>
        <w:jc w:val="both"/>
      </w:pPr>
      <w:r>
        <w:rPr>
          <w:rFonts w:ascii="仿宋" w:hAnsi="仿宋" w:eastAsia="仿宋" w:cs="仿宋"/>
          <w:b w:val="0"/>
          <w:color w:val="000000"/>
          <w:sz w:val="30"/>
        </w:rPr>
        <w:t>九、国有资本经营预算支出情况表</w:t>
      </w:r>
    </w:p>
    <w:p w14:paraId="650D55CC">
      <w:pPr>
        <w:spacing w:line="560" w:lineRule="exact"/>
        <w:ind w:firstLine="900"/>
        <w:jc w:val="both"/>
      </w:pPr>
      <w:r>
        <w:rPr>
          <w:rFonts w:ascii="仿宋" w:hAnsi="仿宋" w:eastAsia="仿宋" w:cs="仿宋"/>
          <w:b w:val="0"/>
          <w:color w:val="000000"/>
          <w:sz w:val="30"/>
        </w:rPr>
        <w:t>十、项目支出表</w:t>
      </w:r>
    </w:p>
    <w:p w14:paraId="751B156E">
      <w:pPr>
        <w:spacing w:line="560" w:lineRule="exact"/>
        <w:ind w:firstLine="900"/>
        <w:jc w:val="both"/>
      </w:pPr>
      <w:r>
        <w:rPr>
          <w:rFonts w:ascii="仿宋" w:hAnsi="仿宋" w:eastAsia="仿宋" w:cs="仿宋"/>
          <w:b w:val="0"/>
          <w:color w:val="000000"/>
          <w:sz w:val="30"/>
        </w:rPr>
        <w:t>十一、关于空表的说明</w:t>
      </w:r>
    </w:p>
    <w:p w14:paraId="1BAB5F26">
      <w:pPr>
        <w:pageBreakBefore/>
        <w:spacing w:line="560" w:lineRule="exact"/>
        <w:ind w:firstLine="0"/>
        <w:jc w:val="center"/>
      </w:pPr>
      <w:r>
        <w:rPr>
          <w:rFonts w:ascii="FZXiaoBiaoSong-B05S" w:hAnsi="FZXiaoBiaoSong-B05S" w:eastAsia="FZXiaoBiaoSong-B05S" w:cs="FZXiaoBiaoSong-B05S"/>
          <w:b/>
          <w:color w:val="000000"/>
          <w:sz w:val="48"/>
        </w:rPr>
        <w:t>第一部分 概况</w:t>
      </w:r>
    </w:p>
    <w:p w14:paraId="2F6BC097">
      <w:pPr>
        <w:spacing w:line="560" w:lineRule="exact"/>
        <w:ind w:firstLine="600"/>
        <w:jc w:val="both"/>
      </w:pPr>
      <w:r>
        <w:rPr>
          <w:rFonts w:ascii="黑体" w:hAnsi="黑体" w:eastAsia="黑体" w:cs="黑体"/>
          <w:b/>
          <w:color w:val="353232"/>
          <w:sz w:val="30"/>
        </w:rPr>
        <w:t>一、主要职责</w:t>
      </w:r>
    </w:p>
    <w:p w14:paraId="428C9946">
      <w:pPr>
        <w:spacing w:line="560" w:lineRule="exact"/>
        <w:ind w:firstLine="600"/>
        <w:jc w:val="both"/>
      </w:pPr>
      <w:r>
        <w:rPr>
          <w:rFonts w:ascii="仿宋" w:hAnsi="仿宋" w:eastAsia="仿宋" w:cs="仿宋"/>
          <w:b w:val="0"/>
          <w:color w:val="000000"/>
          <w:sz w:val="30"/>
        </w:rPr>
        <w:t>负责承接区级部门下放的行政审批事务和镇政府、有关单位承担的直接面向公民、法人、社会组织公共服务职能。天津市西青区中北镇综合便民服务中心，内设5个机构，具体设置如下：</w:t>
      </w:r>
      <w:r>
        <w:rPr>
          <w:rFonts w:ascii="仿宋" w:hAnsi="仿宋" w:eastAsia="仿宋" w:cs="仿宋"/>
          <w:b w:val="0"/>
          <w:color w:val="000000"/>
          <w:sz w:val="30"/>
        </w:rPr>
        <w:br w:type="textWrapping"/>
      </w:r>
      <w:r>
        <w:rPr>
          <w:rFonts w:ascii="仿宋" w:hAnsi="仿宋" w:eastAsia="仿宋" w:cs="仿宋"/>
          <w:b w:val="0"/>
          <w:color w:val="000000"/>
          <w:sz w:val="30"/>
        </w:rPr>
        <w:t xml:space="preserve">    综合科：负责综合便民服务中心日常管理、综合协调服务和党务管理工作；负责各科工作情况统计、汇总等工作；负责协调物业、水、电、气等相关服务工作。</w:t>
      </w:r>
      <w:r>
        <w:rPr>
          <w:rFonts w:ascii="仿宋" w:hAnsi="仿宋" w:eastAsia="仿宋" w:cs="仿宋"/>
          <w:b w:val="0"/>
          <w:color w:val="000000"/>
          <w:sz w:val="30"/>
        </w:rPr>
        <w:br w:type="textWrapping"/>
      </w:r>
      <w:r>
        <w:rPr>
          <w:rFonts w:ascii="仿宋" w:hAnsi="仿宋" w:eastAsia="仿宋" w:cs="仿宋"/>
          <w:b w:val="0"/>
          <w:color w:val="000000"/>
          <w:sz w:val="30"/>
        </w:rPr>
        <w:t xml:space="preserve">    业务一科：负责承接区行政审批部门下放的项目投资、商务、市容、市政、交通、环保、农业、林业、水务、卫生、计生、文化、出版、教育、安监、民政、社团、司法、劳动等领域的行政许可事项。</w:t>
      </w:r>
      <w:r>
        <w:rPr>
          <w:rFonts w:ascii="仿宋" w:hAnsi="仿宋" w:eastAsia="仿宋" w:cs="仿宋"/>
          <w:b w:val="0"/>
          <w:color w:val="000000"/>
          <w:sz w:val="30"/>
        </w:rPr>
        <w:br w:type="textWrapping"/>
      </w:r>
      <w:r>
        <w:rPr>
          <w:rFonts w:ascii="仿宋" w:hAnsi="仿宋" w:eastAsia="仿宋" w:cs="仿宋"/>
          <w:b w:val="0"/>
          <w:color w:val="000000"/>
          <w:sz w:val="30"/>
        </w:rPr>
        <w:t xml:space="preserve">    业务二科：负责失业人员登记、失业险发放等管理服务工作;负责城乡居民基本医疗保险服务工作；负责退休人员档案管理等管理服务工作；负责职业介绍、职业培训、就业指导及岗位信息发布工作;负责未婚证、计划生育及流动人口管理服务等工作；负责残疾人、助残物资发放、保障住房材料审核、丧葬、老年人、低保户等相关服务工作;负责优抚帮扶、临时救助相关服务工作；负责管理和优抚政策的落实，协调拥军优属工作。</w:t>
      </w:r>
      <w:r>
        <w:rPr>
          <w:rFonts w:ascii="仿宋" w:hAnsi="仿宋" w:eastAsia="仿宋" w:cs="仿宋"/>
          <w:b w:val="0"/>
          <w:color w:val="000000"/>
          <w:sz w:val="30"/>
        </w:rPr>
        <w:br w:type="textWrapping"/>
      </w:r>
      <w:r>
        <w:rPr>
          <w:rFonts w:ascii="仿宋" w:hAnsi="仿宋" w:eastAsia="仿宋" w:cs="仿宋"/>
          <w:b w:val="0"/>
          <w:color w:val="000000"/>
          <w:sz w:val="30"/>
        </w:rPr>
        <w:t xml:space="preserve">    业务三科：负责园林绿化、环境卫生及其设施的建设、维护与管理；负责本镇农业、农机、林业及水产养殖业管理与服务种植业养殖业新品种、新技术的引进、推广和农业科技项目的管理、农业信息化、农业技术人员的培训；搞好农林业病虫害的预测、预报及动植物疫情的防控等工作；负责防汛抗旱、节水、水利科技推广、农村水利工程建设管理与运行维护、水环境维护的技术指导和农村饮水安全等工作。</w:t>
      </w:r>
      <w:r>
        <w:rPr>
          <w:rFonts w:ascii="仿宋" w:hAnsi="仿宋" w:eastAsia="仿宋" w:cs="仿宋"/>
          <w:b w:val="0"/>
          <w:color w:val="000000"/>
          <w:sz w:val="30"/>
        </w:rPr>
        <w:br w:type="textWrapping"/>
      </w:r>
      <w:r>
        <w:rPr>
          <w:rFonts w:ascii="仿宋" w:hAnsi="仿宋" w:eastAsia="仿宋" w:cs="仿宋"/>
          <w:b w:val="0"/>
          <w:color w:val="000000"/>
          <w:sz w:val="30"/>
        </w:rPr>
        <w:t xml:space="preserve">    业务四科：负责机关及基层党组织服务；负责全镇党员统计、组织关系接转、党费收缴、使用和管理工作；负责组织工会职工培训、维护职工基本权利、为职工提供服务；负责服务团组织及团员，协调处理各种与青少年利益相关的问题；负责维护妇女儿童合法权益，服务妇女工作生活，帮助妇女协调解决工作生活中困难工作。</w:t>
      </w:r>
    </w:p>
    <w:p w14:paraId="553AB369">
      <w:pPr>
        <w:spacing w:line="560" w:lineRule="exact"/>
        <w:ind w:firstLine="600"/>
        <w:jc w:val="both"/>
      </w:pPr>
      <w:r>
        <w:rPr>
          <w:rFonts w:ascii="黑体" w:hAnsi="黑体" w:eastAsia="黑体" w:cs="黑体"/>
          <w:b/>
          <w:color w:val="000000"/>
          <w:sz w:val="30"/>
        </w:rPr>
        <w:t>二、机构设置情况</w:t>
      </w:r>
    </w:p>
    <w:p w14:paraId="2151B935">
      <w:pPr>
        <w:spacing w:line="560" w:lineRule="exact"/>
        <w:ind w:firstLine="600"/>
        <w:jc w:val="both"/>
      </w:pPr>
      <w:r>
        <w:rPr>
          <w:rFonts w:ascii="仿宋" w:hAnsi="仿宋" w:eastAsia="仿宋" w:cs="仿宋"/>
          <w:b w:val="0"/>
          <w:color w:val="000000"/>
          <w:sz w:val="30"/>
        </w:rPr>
        <w:t>天津市西青区中北镇综合便民服务中心部门内设5个职能科室；下辖1个预算单位。</w:t>
      </w:r>
    </w:p>
    <w:p w14:paraId="0CB614FB">
      <w:pPr>
        <w:spacing w:line="560" w:lineRule="exact"/>
        <w:ind w:firstLine="600"/>
        <w:jc w:val="both"/>
      </w:pPr>
      <w:r>
        <w:rPr>
          <w:rFonts w:ascii="仿宋" w:hAnsi="仿宋" w:eastAsia="仿宋" w:cs="仿宋"/>
          <w:b w:val="0"/>
          <w:color w:val="000000"/>
          <w:sz w:val="30"/>
        </w:rPr>
        <w:t>纳入天津市西青区中北镇综合便民服务中心单位2025年部门预算编制范围的预算单位包括：</w:t>
      </w:r>
    </w:p>
    <w:p w14:paraId="18E6232F">
      <w:pPr>
        <w:spacing w:line="560" w:lineRule="exact"/>
        <w:ind w:firstLine="600"/>
        <w:jc w:val="both"/>
      </w:pPr>
      <w:r>
        <w:rPr>
          <w:rFonts w:ascii="仿宋" w:hAnsi="仿宋" w:eastAsia="仿宋" w:cs="仿宋"/>
          <w:b w:val="0"/>
          <w:color w:val="000000"/>
          <w:sz w:val="30"/>
        </w:rPr>
        <w:t>1.天津市西青区中北镇综合便民服务中心</w:t>
      </w:r>
    </w:p>
    <w:p w14:paraId="3B29CEB4">
      <w:pPr>
        <w:pageBreakBefore/>
        <w:spacing w:line="560" w:lineRule="exact"/>
        <w:ind w:firstLine="0"/>
        <w:jc w:val="center"/>
      </w:pPr>
      <w:r>
        <w:rPr>
          <w:rFonts w:ascii="FZXiaoBiaoSong-B05S" w:hAnsi="FZXiaoBiaoSong-B05S" w:eastAsia="FZXiaoBiaoSong-B05S" w:cs="FZXiaoBiaoSong-B05S"/>
          <w:b/>
          <w:color w:val="000000"/>
          <w:sz w:val="48"/>
        </w:rPr>
        <w:t>第二部分  2025年度单位预算情况说明</w:t>
      </w:r>
    </w:p>
    <w:p w14:paraId="26B15F6E">
      <w:pPr>
        <w:spacing w:line="560" w:lineRule="exact"/>
        <w:ind w:firstLine="600"/>
        <w:jc w:val="both"/>
      </w:pPr>
      <w:r>
        <w:rPr>
          <w:rFonts w:ascii="黑体" w:hAnsi="黑体" w:eastAsia="黑体" w:cs="黑体"/>
          <w:b/>
          <w:color w:val="000000"/>
          <w:sz w:val="30"/>
        </w:rPr>
        <w:t>一、关于收支总体情况表的说明</w:t>
      </w:r>
    </w:p>
    <w:p w14:paraId="1F15B923">
      <w:pPr>
        <w:spacing w:line="560" w:lineRule="exact"/>
        <w:ind w:firstLine="600"/>
        <w:jc w:val="both"/>
      </w:pPr>
      <w:r>
        <w:rPr>
          <w:rFonts w:ascii="仿宋" w:hAnsi="仿宋" w:eastAsia="仿宋" w:cs="仿宋"/>
          <w:b w:val="0"/>
          <w:color w:val="000000"/>
          <w:sz w:val="30"/>
        </w:rPr>
        <w:t>按照综合预算的原则，天津市西青区中北镇综合便民服务中心单位所有收入和支出均纳入部门预算管理。收入包括：一般公共预算拨款收入7,336.58万元、政府性基金预算拨款收入0万元、国有资本经营预算拨款收入0万元、财政专户管理资金收入0万元、事业收入0万元、事业单位经营收入0万元、上级补助收入0万元、附属单位上缴收入0万元、其他收入0万元、上年结转结余642.11万元；支出包括：商业服务业等支出0.30万元、教育支出8.34万元、社会保障和就业支出958.03万元、一般公共服务支出6,499.30万元、卫生健康支出512.73万元。天津市西青区中北镇综合便民服务中心单位2025年收支总预算7,978.70万元。</w:t>
      </w:r>
    </w:p>
    <w:p w14:paraId="257E7A69">
      <w:pPr>
        <w:spacing w:line="560" w:lineRule="exact"/>
        <w:ind w:firstLine="600"/>
        <w:jc w:val="both"/>
      </w:pPr>
      <w:r>
        <w:rPr>
          <w:rFonts w:ascii="黑体" w:hAnsi="黑体" w:eastAsia="黑体" w:cs="黑体"/>
          <w:b/>
          <w:color w:val="000000"/>
          <w:sz w:val="30"/>
        </w:rPr>
        <w:t>二、关于收入总体情况表的说明</w:t>
      </w:r>
    </w:p>
    <w:p w14:paraId="7487DFE6">
      <w:pPr>
        <w:spacing w:line="560" w:lineRule="exact"/>
        <w:ind w:firstLine="600"/>
        <w:jc w:val="both"/>
      </w:pPr>
      <w:r>
        <w:rPr>
          <w:rFonts w:ascii="仿宋" w:hAnsi="仿宋" w:eastAsia="仿宋" w:cs="仿宋"/>
          <w:b w:val="0"/>
          <w:color w:val="000000"/>
          <w:sz w:val="30"/>
        </w:rPr>
        <w:t>天津市西青区中北镇综合便民服务中心单位2025年部门预算收入7,978.70万元，与上年预算相比减少816.15万元，主要原因是公用经费中办公费、物业费及项目类社区办公经费、旧楼区长效补贴项目等预算收入减少。其中：上年结转结余642.11万元，占8.05%；一般公共预算7,336.58万元，占91.95%；政府性基金预算0万元，占0%；国有资本经营预算0万元，占0%；财政专户管理资金0万元，占0%；事业收入0万元，占0%；事业单位经营收入0万元，占0%；上级补助收入0万元，占0%；附属单位上缴收入0万元，占0%；其他收入0万元，占0%。</w:t>
      </w:r>
    </w:p>
    <w:p w14:paraId="526789EF">
      <w:pPr>
        <w:spacing w:line="560" w:lineRule="exact"/>
        <w:ind w:firstLine="600"/>
        <w:jc w:val="both"/>
      </w:pPr>
      <w:r>
        <w:rPr>
          <w:rFonts w:ascii="黑体" w:hAnsi="黑体" w:eastAsia="黑体" w:cs="黑体"/>
          <w:b/>
          <w:color w:val="000000"/>
          <w:sz w:val="30"/>
        </w:rPr>
        <w:t>三、关于支出总体情况表的说明</w:t>
      </w:r>
    </w:p>
    <w:p w14:paraId="57FFE46B">
      <w:pPr>
        <w:spacing w:line="560" w:lineRule="exact"/>
        <w:ind w:firstLine="600"/>
        <w:jc w:val="both"/>
      </w:pPr>
      <w:r>
        <w:rPr>
          <w:rFonts w:ascii="仿宋" w:hAnsi="仿宋" w:eastAsia="仿宋" w:cs="仿宋"/>
          <w:b w:val="0"/>
          <w:color w:val="000000"/>
          <w:sz w:val="30"/>
        </w:rPr>
        <w:t>天津市西青区中北镇综合便民服务中心单位2025年支出预算7,978.70万元，与上年预算相比减少816.15万元，主要原因是公用经费中办公费、物业费及项目类社区办公经费、旧楼区长效补贴项目等支出减少。其中：基本支出5,976.61万元，占74.91%；项目支出2,002.0</w:t>
      </w:r>
      <w:r>
        <w:rPr>
          <w:rFonts w:hint="eastAsia" w:ascii="仿宋" w:hAnsi="仿宋" w:eastAsia="仿宋" w:cs="仿宋"/>
          <w:b w:val="0"/>
          <w:color w:val="000000"/>
          <w:sz w:val="30"/>
          <w:lang w:val="en-US" w:eastAsia="zh-CN"/>
        </w:rPr>
        <w:t>9</w:t>
      </w:r>
      <w:r>
        <w:rPr>
          <w:rFonts w:ascii="仿宋" w:hAnsi="仿宋" w:eastAsia="仿宋" w:cs="仿宋"/>
          <w:b w:val="0"/>
          <w:color w:val="000000"/>
          <w:sz w:val="30"/>
        </w:rPr>
        <w:t>万元，占25.09%；事业单位经营支出0万元，占0%；上缴上级支出0万元，占0%；对附属单位补助支出0万元，占0%。</w:t>
      </w:r>
    </w:p>
    <w:p w14:paraId="76630B49">
      <w:pPr>
        <w:spacing w:line="560" w:lineRule="exact"/>
        <w:ind w:firstLine="600"/>
        <w:jc w:val="both"/>
      </w:pPr>
      <w:r>
        <w:rPr>
          <w:rFonts w:ascii="黑体" w:hAnsi="黑体" w:eastAsia="黑体" w:cs="黑体"/>
          <w:b/>
          <w:color w:val="000000"/>
          <w:sz w:val="30"/>
        </w:rPr>
        <w:t>四、关于财政拨款收支总体情况表的说明</w:t>
      </w:r>
    </w:p>
    <w:p w14:paraId="008C8D16">
      <w:pPr>
        <w:spacing w:line="560" w:lineRule="exact"/>
        <w:ind w:firstLine="600"/>
        <w:jc w:val="both"/>
      </w:pPr>
      <w:r>
        <w:rPr>
          <w:rFonts w:ascii="仿宋" w:hAnsi="仿宋" w:eastAsia="仿宋" w:cs="仿宋"/>
          <w:b w:val="0"/>
          <w:color w:val="000000"/>
          <w:sz w:val="30"/>
        </w:rPr>
        <w:t>天津市西青区中北镇综合便民服务中心单位2025年财政拨款收入预算7,978.70万元，与上年预算相比减少816.15万元，主要原因是公用经费中办公费、物业费及项目类社区办公经费、旧楼区长效补贴项目等预算收入减少。收入包括：一般公共预算拨款收入7,336.58万元、政府性基金预算拨款收入0万元、上年财政结转结余642.11万元、国有资本经营预算拨款收入0万元、2025年财政拨款支出预算7,978.70万元，与上年预算相比减少816.15万元，主要原因是公用经费中办公费、物业费及项目类社区办公经费、旧楼区长效补贴项目等支出减少。支出包括：一般公共服务支出6,499.30万元 ；教育支出8.34万元 ；社会保障和就业支出958.03万元 ；卫生健康支出512.73万元 ；商业服务业等支出0.30万元。</w:t>
      </w:r>
    </w:p>
    <w:p w14:paraId="3A61D965">
      <w:pPr>
        <w:spacing w:line="560" w:lineRule="exact"/>
        <w:ind w:firstLine="600"/>
        <w:jc w:val="both"/>
      </w:pPr>
      <w:r>
        <w:rPr>
          <w:rFonts w:ascii="黑体" w:hAnsi="黑体" w:eastAsia="黑体" w:cs="黑体"/>
          <w:b/>
          <w:color w:val="000000"/>
          <w:sz w:val="30"/>
        </w:rPr>
        <w:t>五、关于一般公共预算支出情况表的说明</w:t>
      </w:r>
    </w:p>
    <w:p w14:paraId="6604759E">
      <w:pPr>
        <w:spacing w:line="560" w:lineRule="exact"/>
        <w:ind w:firstLine="600"/>
        <w:jc w:val="both"/>
      </w:pPr>
      <w:r>
        <w:rPr>
          <w:rFonts w:ascii="楷体" w:hAnsi="楷体" w:eastAsia="楷体" w:cs="楷体"/>
          <w:b/>
          <w:color w:val="000000"/>
          <w:sz w:val="30"/>
        </w:rPr>
        <w:t>（一）总体情况</w:t>
      </w:r>
    </w:p>
    <w:p w14:paraId="78E9ACBA">
      <w:pPr>
        <w:spacing w:line="560" w:lineRule="exact"/>
        <w:ind w:firstLine="600"/>
        <w:jc w:val="both"/>
      </w:pPr>
      <w:r>
        <w:rPr>
          <w:rFonts w:ascii="仿宋" w:hAnsi="仿宋" w:eastAsia="仿宋" w:cs="仿宋"/>
          <w:b w:val="0"/>
          <w:color w:val="000000"/>
          <w:sz w:val="30"/>
        </w:rPr>
        <w:t>天津市西青区中北镇综合便民服务中心单位2025年一般公共预算支出7,978.70万元(上年8794.85万元），与上年预算相比减少816.15万元，主要原因是公用经费中办公费、物业费及项目类社区办公经费、旧楼区长效补贴项目等支出减少。</w:t>
      </w:r>
    </w:p>
    <w:p w14:paraId="681996C1">
      <w:pPr>
        <w:spacing w:line="560" w:lineRule="exact"/>
        <w:ind w:firstLine="600"/>
        <w:jc w:val="both"/>
      </w:pPr>
      <w:r>
        <w:rPr>
          <w:rFonts w:ascii="楷体" w:hAnsi="楷体" w:eastAsia="楷体" w:cs="楷体"/>
          <w:b/>
          <w:color w:val="000000"/>
          <w:sz w:val="30"/>
        </w:rPr>
        <w:t>（二）具体情况</w:t>
      </w:r>
    </w:p>
    <w:p w14:paraId="5D01A338">
      <w:pPr>
        <w:spacing w:line="560" w:lineRule="exact"/>
        <w:ind w:firstLine="600"/>
        <w:jc w:val="both"/>
      </w:pPr>
      <w:r>
        <w:rPr>
          <w:rFonts w:ascii="仿宋" w:hAnsi="仿宋" w:eastAsia="仿宋" w:cs="仿宋"/>
          <w:b w:val="0"/>
          <w:color w:val="000000"/>
          <w:sz w:val="30"/>
        </w:rPr>
        <w:t>1、“一般公共服务支出（类）”6,499.30万元，与上年预算相比增加6,499.30万元，主要原因是人员类的工资、公用类水电费、邮电费、办公费等支出及项目类社区办公经费、社区服务群众专项经费、建设“中北镇零工市场”等项目支出增加。其中：“社会工作事务（款）”6,499.30万元，包括：“专项业务（社会工作事务）（项）”391.23万元，主要用于项目经费中社区办公经费、社区服务群众专项支出；“其他社会工作事务支出（项）”6,108.07万元，主要用于人员类经费中在职及编外人员的工资、保险、公积金等支出，公用类水电费、邮电费、办公费等支出，项目类西青区社区工作人员“关心关爱十条”、物业补贴、建设“中北镇零工市场”等项目支出。</w:t>
      </w:r>
    </w:p>
    <w:p w14:paraId="4EE7C56E">
      <w:pPr>
        <w:spacing w:line="560" w:lineRule="exact"/>
        <w:ind w:firstLine="600"/>
        <w:jc w:val="both"/>
      </w:pPr>
      <w:r>
        <w:rPr>
          <w:rFonts w:ascii="仿宋" w:hAnsi="仿宋" w:eastAsia="仿宋" w:cs="仿宋"/>
          <w:b w:val="0"/>
          <w:color w:val="000000"/>
          <w:sz w:val="30"/>
        </w:rPr>
        <w:t>2、“教育支出（类）”8.34万元，与上年预算相比减少3.76万元，主要原因是培训费支出减少。其中：“进修及培训（款）”8.34万元，包括：“培训支出（项）”8.34万元，主要用于在编人员培训支出。</w:t>
      </w:r>
    </w:p>
    <w:p w14:paraId="63358863">
      <w:pPr>
        <w:spacing w:line="560" w:lineRule="exact"/>
        <w:ind w:firstLine="600"/>
        <w:jc w:val="both"/>
      </w:pPr>
      <w:r>
        <w:rPr>
          <w:rFonts w:ascii="仿宋" w:hAnsi="仿宋" w:eastAsia="仿宋" w:cs="仿宋"/>
          <w:b w:val="0"/>
          <w:color w:val="000000"/>
          <w:sz w:val="30"/>
        </w:rPr>
        <w:t>3、“社会保障和就业支出（类）”958.03万元，与上年预算相比减少7,304.70万元，主要原因是人员类的工资、公用类水电费、邮电费、办公费等支出及项目类社区办公经费、社区服务群众专项经费、建设“中北镇零工市场”等项目支出减少。其中：“人力资源和社会保障管理事务（款）”3.94万元，包括：“其他人力资源和社会保障管理事务支出（项）”3.94万元，主要用于支付2024年高校毕业生“三支一扶”计划中央专项经费。</w:t>
      </w:r>
    </w:p>
    <w:p w14:paraId="66BD1B61">
      <w:pPr>
        <w:spacing w:line="560" w:lineRule="exact"/>
        <w:ind w:firstLine="600"/>
        <w:jc w:val="both"/>
      </w:pPr>
      <w:r>
        <w:rPr>
          <w:rFonts w:ascii="仿宋" w:hAnsi="仿宋" w:eastAsia="仿宋" w:cs="仿宋"/>
          <w:b w:val="0"/>
          <w:color w:val="000000"/>
          <w:sz w:val="30"/>
        </w:rPr>
        <w:t>“民政管理事务（款）”681.23万元，包括：“其他民政管理事务支出（项）”681.23万元，主要用于支付旧楼区长效补贴费用。</w:t>
      </w:r>
    </w:p>
    <w:p w14:paraId="54BF0BBF">
      <w:pPr>
        <w:spacing w:line="560" w:lineRule="exact"/>
        <w:ind w:firstLine="600"/>
        <w:jc w:val="both"/>
      </w:pPr>
      <w:r>
        <w:rPr>
          <w:rFonts w:ascii="仿宋" w:hAnsi="仿宋" w:eastAsia="仿宋" w:cs="仿宋"/>
          <w:b w:val="0"/>
          <w:color w:val="000000"/>
          <w:sz w:val="30"/>
        </w:rPr>
        <w:t>“行政事业单位养老支出（款）”208.44万元，包括：“事业单位离退休（项）”12.59万元，主要用于退休人员退休费的发放；“机关事业单位基本养老保险缴费支出（项）”130.56万元，主要用于在职人员养老保险费用的缴纳；“机关事业单位职业年金缴费支出（项）”65.28万元，主要用于在职人员职业年金费用的缴纳。</w:t>
      </w:r>
    </w:p>
    <w:p w14:paraId="038D0C4E">
      <w:pPr>
        <w:spacing w:line="560" w:lineRule="exact"/>
        <w:ind w:firstLine="600"/>
        <w:jc w:val="both"/>
      </w:pPr>
      <w:r>
        <w:rPr>
          <w:rFonts w:ascii="仿宋" w:hAnsi="仿宋" w:eastAsia="仿宋" w:cs="仿宋"/>
          <w:b w:val="0"/>
          <w:color w:val="000000"/>
          <w:sz w:val="30"/>
        </w:rPr>
        <w:t>“社会福利（款）”49.00万元，包括：“老年福利（项）”49.00万元，主要用于老年人助餐补贴、日间照料中心建设、运营补贴、入住养老院补贴项目支出。</w:t>
      </w:r>
    </w:p>
    <w:p w14:paraId="009DA043">
      <w:pPr>
        <w:spacing w:line="560" w:lineRule="exact"/>
        <w:ind w:firstLine="600"/>
        <w:jc w:val="both"/>
      </w:pPr>
      <w:r>
        <w:rPr>
          <w:rFonts w:ascii="仿宋" w:hAnsi="仿宋" w:eastAsia="仿宋" w:cs="仿宋"/>
          <w:b w:val="0"/>
          <w:color w:val="000000"/>
          <w:sz w:val="30"/>
        </w:rPr>
        <w:t>“残疾人事业（款）”5.43万元，包括：“残疾人就业（项）”5.43万元，主要用于2024年残疾人专职委员管理经费(市级残保金第二批)项目支出。</w:t>
      </w:r>
    </w:p>
    <w:p w14:paraId="1978ACC2">
      <w:pPr>
        <w:spacing w:line="560" w:lineRule="exact"/>
        <w:ind w:firstLine="600"/>
        <w:jc w:val="both"/>
      </w:pPr>
      <w:r>
        <w:rPr>
          <w:rFonts w:ascii="仿宋" w:hAnsi="仿宋" w:eastAsia="仿宋" w:cs="仿宋"/>
          <w:b w:val="0"/>
          <w:color w:val="000000"/>
          <w:sz w:val="30"/>
        </w:rPr>
        <w:t>“临时救助（款）”10.00万元，包括：“临时救助支出（项）”10.00万元，主要用于镇临时救助项目支出。</w:t>
      </w:r>
    </w:p>
    <w:p w14:paraId="333AE07A">
      <w:pPr>
        <w:spacing w:line="560" w:lineRule="exact"/>
        <w:ind w:firstLine="600"/>
        <w:jc w:val="both"/>
      </w:pPr>
      <w:r>
        <w:rPr>
          <w:rFonts w:ascii="仿宋" w:hAnsi="仿宋" w:eastAsia="仿宋" w:cs="仿宋"/>
          <w:b w:val="0"/>
          <w:color w:val="000000"/>
          <w:sz w:val="30"/>
        </w:rPr>
        <w:t>4、“卫生健康支出（类）”512.73万元，与上年预算相比减少19.08万元，主要原因是三术费及大夫工资费用项目支出减少。其中：“基层医疗卫生机构（款）”45.54万元，包括：“其他基层医疗卫生机构支出（项）”45.54万元，主要用于老年乡村医生养老补助（区级）项目支出。</w:t>
      </w:r>
    </w:p>
    <w:p w14:paraId="7D283F26">
      <w:pPr>
        <w:spacing w:line="560" w:lineRule="exact"/>
        <w:ind w:firstLine="600"/>
        <w:jc w:val="both"/>
      </w:pPr>
      <w:r>
        <w:rPr>
          <w:rFonts w:ascii="仿宋" w:hAnsi="仿宋" w:eastAsia="仿宋" w:cs="仿宋"/>
          <w:b w:val="0"/>
          <w:color w:val="000000"/>
          <w:sz w:val="30"/>
        </w:rPr>
        <w:t>“公共卫生（款）”350.00万元，包括：“突发公共卫生事件应急处理（项）”350.00万元，主要用于便民服务中心以前年度疫情费用项目支出。</w:t>
      </w:r>
    </w:p>
    <w:p w14:paraId="15D82DB1">
      <w:pPr>
        <w:spacing w:line="560" w:lineRule="exact"/>
        <w:ind w:firstLine="600"/>
        <w:jc w:val="both"/>
      </w:pPr>
      <w:r>
        <w:rPr>
          <w:rFonts w:ascii="仿宋" w:hAnsi="仿宋" w:eastAsia="仿宋" w:cs="仿宋"/>
          <w:b w:val="0"/>
          <w:color w:val="000000"/>
          <w:sz w:val="30"/>
        </w:rPr>
        <w:t>“计划生育事务（款）”27.00万元，包括：“其他计划生育事务支出（项）”27.00万元，主要用于独生子女费、暖心之家项目、计生慰问及药费报销、国家免费孕前优生检查项目、三术费及大夫工资费用项目支出。</w:t>
      </w:r>
    </w:p>
    <w:p w14:paraId="6E5E9E14">
      <w:pPr>
        <w:spacing w:line="560" w:lineRule="exact"/>
        <w:ind w:firstLine="600"/>
        <w:jc w:val="both"/>
      </w:pPr>
      <w:r>
        <w:rPr>
          <w:rFonts w:ascii="仿宋" w:hAnsi="仿宋" w:eastAsia="仿宋" w:cs="仿宋"/>
          <w:b w:val="0"/>
          <w:color w:val="000000"/>
          <w:sz w:val="30"/>
        </w:rPr>
        <w:t>“行政事业单位医疗（款）”90.19万元，包括：“事业单位医疗（项）”81.60万元，主要用于在职人员基本医疗保险费用的缴纳；“其他行政事业单位医疗支出（项）”8.59万元，主要用于在职人员和退休人员补充医疗保险费用的缴纳。</w:t>
      </w:r>
    </w:p>
    <w:p w14:paraId="1F2E83BE">
      <w:pPr>
        <w:spacing w:line="560" w:lineRule="exact"/>
        <w:ind w:firstLine="600"/>
        <w:jc w:val="both"/>
      </w:pPr>
      <w:r>
        <w:rPr>
          <w:rFonts w:ascii="仿宋" w:hAnsi="仿宋" w:eastAsia="仿宋" w:cs="仿宋"/>
          <w:b w:val="0"/>
          <w:color w:val="000000"/>
          <w:sz w:val="30"/>
        </w:rPr>
        <w:t>5、“商业服务业等支出（类）”0.30万元，与上年相同其中：“商业流通事务（款）”0.30万元，包括：“其他商业流通事务支出（项）”0.30万元，主要用于副食补贴项目支出。</w:t>
      </w:r>
    </w:p>
    <w:p w14:paraId="6B8ECE53">
      <w:pPr>
        <w:spacing w:line="560" w:lineRule="exact"/>
        <w:ind w:firstLine="600"/>
        <w:jc w:val="both"/>
      </w:pPr>
      <w:r>
        <w:rPr>
          <w:rFonts w:ascii="黑体" w:hAnsi="黑体" w:eastAsia="黑体" w:cs="黑体"/>
          <w:b/>
          <w:color w:val="000000"/>
          <w:sz w:val="30"/>
        </w:rPr>
        <w:t>六、关于一般公共预算基本支出情况表的说明</w:t>
      </w:r>
    </w:p>
    <w:p w14:paraId="498CA81F">
      <w:pPr>
        <w:spacing w:line="560" w:lineRule="exact"/>
        <w:ind w:firstLine="600"/>
        <w:jc w:val="both"/>
      </w:pPr>
      <w:r>
        <w:rPr>
          <w:rFonts w:ascii="仿宋" w:hAnsi="仿宋" w:eastAsia="仿宋" w:cs="仿宋"/>
          <w:b w:val="0"/>
          <w:color w:val="000000"/>
          <w:sz w:val="30"/>
        </w:rPr>
        <w:t>天津市西青区中北镇综合便民服务中心单位2025年一般公共预算基本支出 5,976.61万元，与上年预算相比减少321.08万元，主要原因是公用经费中办公费、物业费支出减少。其中：人员经费 5,104.34万元，主要包括：基本工资、津贴补贴、绩效工资、机关事业单位基本养老保险缴费、职业年金缴费、职工基本医疗保险缴费、其他社会保障缴费、住房公积金、医疗费、其他工资福利支出、退休费、医疗费补助、奖励金、其他对个人和家庭的补助等；</w:t>
      </w:r>
    </w:p>
    <w:p w14:paraId="165BA603">
      <w:pPr>
        <w:spacing w:line="560" w:lineRule="exact"/>
        <w:ind w:firstLine="600"/>
        <w:jc w:val="both"/>
      </w:pPr>
      <w:r>
        <w:rPr>
          <w:rFonts w:ascii="仿宋" w:hAnsi="仿宋" w:eastAsia="仿宋" w:cs="仿宋"/>
          <w:b w:val="0"/>
          <w:color w:val="000000"/>
          <w:sz w:val="30"/>
        </w:rPr>
        <w:t>公用经费872.27万元，主要包括：办公费、水费、电费、邮电费、取暖费、物业管理费、差旅费、维修（护）费、培训费、工会经费、福利费、公务用车运行维护费、其他交通费用、其他商品和服务支出、办公设备购置等。</w:t>
      </w:r>
    </w:p>
    <w:p w14:paraId="7B29C997">
      <w:pPr>
        <w:spacing w:line="560" w:lineRule="exact"/>
        <w:ind w:firstLine="600"/>
        <w:jc w:val="both"/>
      </w:pPr>
      <w:r>
        <w:rPr>
          <w:rFonts w:ascii="黑体" w:hAnsi="黑体" w:eastAsia="黑体" w:cs="黑体"/>
          <w:b/>
          <w:color w:val="000000"/>
          <w:sz w:val="30"/>
        </w:rPr>
        <w:t>七、关于一般公共预算“三公”经费支出情况表的说明</w:t>
      </w:r>
      <w:r>
        <w:rPr>
          <w:rFonts w:ascii="仿宋" w:hAnsi="仿宋" w:eastAsia="仿宋" w:cs="仿宋"/>
          <w:b w:val="0"/>
          <w:color w:val="000000"/>
          <w:sz w:val="30"/>
        </w:rPr>
        <w:t>2025年一般公共预算“三公”经费安排0.80万元，与2024年预算相比增加0.09万元，主要原因是公务用车运行经费增加。</w:t>
      </w:r>
    </w:p>
    <w:p w14:paraId="2DFD51C6">
      <w:pPr>
        <w:spacing w:line="560" w:lineRule="exact"/>
        <w:ind w:firstLine="600"/>
        <w:jc w:val="both"/>
      </w:pPr>
      <w:r>
        <w:rPr>
          <w:rFonts w:ascii="仿宋" w:hAnsi="仿宋" w:eastAsia="仿宋" w:cs="仿宋"/>
          <w:b w:val="0"/>
          <w:color w:val="000000"/>
          <w:sz w:val="30"/>
        </w:rPr>
        <w:t>具体情况：</w:t>
      </w:r>
    </w:p>
    <w:p w14:paraId="6B6DDFAF">
      <w:pPr>
        <w:spacing w:line="560" w:lineRule="exact"/>
        <w:ind w:firstLine="600"/>
        <w:jc w:val="both"/>
      </w:pPr>
      <w:r>
        <w:rPr>
          <w:rFonts w:ascii="仿宋" w:hAnsi="仿宋" w:eastAsia="仿宋" w:cs="仿宋"/>
          <w:b w:val="0"/>
          <w:color w:val="000000"/>
          <w:sz w:val="30"/>
        </w:rPr>
        <w:t>(一)、2025年因公出国（境）费预算0万元，与2024年预算相比增加0.00万元，主要原因是本单位一般公共预算未安排因公出国经费。</w:t>
      </w:r>
    </w:p>
    <w:p w14:paraId="6726B535">
      <w:pPr>
        <w:spacing w:line="560" w:lineRule="exact"/>
        <w:ind w:firstLine="600"/>
        <w:jc w:val="both"/>
      </w:pPr>
      <w:r>
        <w:rPr>
          <w:rFonts w:ascii="仿宋" w:hAnsi="仿宋" w:eastAsia="仿宋" w:cs="仿宋"/>
          <w:b w:val="0"/>
          <w:color w:val="000000"/>
          <w:sz w:val="30"/>
        </w:rPr>
        <w:t>(二)、2025年公务用车购置及运行费预算0.80万元，</w:t>
      </w:r>
    </w:p>
    <w:p w14:paraId="31C02EA1">
      <w:pPr>
        <w:spacing w:line="560" w:lineRule="exact"/>
        <w:ind w:firstLine="600"/>
        <w:jc w:val="both"/>
      </w:pPr>
      <w:r>
        <w:rPr>
          <w:rFonts w:ascii="仿宋" w:hAnsi="仿宋" w:eastAsia="仿宋" w:cs="仿宋"/>
          <w:b w:val="0"/>
          <w:color w:val="000000"/>
          <w:sz w:val="30"/>
        </w:rPr>
        <w:t>其中公务用车运行费0.80万元，与2024年预算相比增加0.09万元，主要原因是公务用车运行经费增加；公务用车购置费0万元，与2024年预算相比增加0万元，主要原因是本单位一般公共预算未安排公务车购置经费。</w:t>
      </w:r>
    </w:p>
    <w:p w14:paraId="08F74C2B">
      <w:pPr>
        <w:spacing w:line="560" w:lineRule="exact"/>
        <w:ind w:firstLine="600"/>
        <w:jc w:val="both"/>
      </w:pPr>
      <w:r>
        <w:rPr>
          <w:rFonts w:ascii="仿宋" w:hAnsi="仿宋" w:eastAsia="仿宋" w:cs="仿宋"/>
          <w:b w:val="0"/>
          <w:color w:val="000000"/>
          <w:sz w:val="30"/>
        </w:rPr>
        <w:t>(三)、2025年公务接待费预算0万元，与2024年预算相比增加0万元，主要原因是本单位一般公共预算未安排公务接待经费。</w:t>
      </w:r>
    </w:p>
    <w:p w14:paraId="1F1C2C67">
      <w:pPr>
        <w:spacing w:line="560" w:lineRule="exact"/>
        <w:ind w:firstLine="600"/>
        <w:jc w:val="both"/>
      </w:pPr>
      <w:r>
        <w:rPr>
          <w:rFonts w:ascii="黑体" w:hAnsi="黑体" w:eastAsia="黑体" w:cs="黑体"/>
          <w:b/>
          <w:color w:val="000000"/>
          <w:sz w:val="30"/>
        </w:rPr>
        <w:t>八、关于政府性基金预算支出情况表的说明</w:t>
      </w:r>
    </w:p>
    <w:p w14:paraId="73041640">
      <w:pPr>
        <w:spacing w:line="560" w:lineRule="exact"/>
        <w:ind w:firstLine="600"/>
        <w:jc w:val="both"/>
      </w:pPr>
      <w:r>
        <w:rPr>
          <w:rFonts w:ascii="仿宋" w:hAnsi="仿宋" w:eastAsia="仿宋" w:cs="仿宋"/>
          <w:b w:val="0"/>
          <w:color w:val="000000"/>
          <w:sz w:val="30"/>
        </w:rPr>
        <w:t>2025年天津市西青区中北镇综合便民服务中心单位预算中没有使用政府性基金预算安排的支出。</w:t>
      </w:r>
    </w:p>
    <w:p w14:paraId="17D5C26E">
      <w:pPr>
        <w:spacing w:line="560" w:lineRule="exact"/>
        <w:ind w:firstLine="600"/>
        <w:jc w:val="both"/>
      </w:pPr>
      <w:r>
        <w:rPr>
          <w:rFonts w:ascii="黑体" w:hAnsi="黑体" w:eastAsia="黑体" w:cs="黑体"/>
          <w:b/>
          <w:color w:val="000000"/>
          <w:sz w:val="30"/>
        </w:rPr>
        <w:t>九、关于国有资本经营预算支出情况表的说明</w:t>
      </w:r>
    </w:p>
    <w:p w14:paraId="2AD5F407">
      <w:pPr>
        <w:spacing w:line="560" w:lineRule="exact"/>
        <w:ind w:firstLine="600"/>
        <w:jc w:val="both"/>
      </w:pPr>
      <w:r>
        <w:rPr>
          <w:rFonts w:ascii="仿宋" w:hAnsi="仿宋" w:eastAsia="仿宋" w:cs="仿宋"/>
          <w:b w:val="0"/>
          <w:color w:val="000000"/>
          <w:sz w:val="30"/>
        </w:rPr>
        <w:t>2025年天津市西青区中北镇综合便民服务中心单位预算中没有使用国有资本经营预算预算安排的支出。</w:t>
      </w:r>
    </w:p>
    <w:p w14:paraId="464AC506">
      <w:pPr>
        <w:spacing w:line="560" w:lineRule="exact"/>
        <w:ind w:firstLine="600"/>
        <w:jc w:val="both"/>
      </w:pPr>
      <w:r>
        <w:rPr>
          <w:rFonts w:ascii="黑体" w:hAnsi="黑体" w:eastAsia="黑体" w:cs="黑体"/>
          <w:b/>
          <w:color w:val="000000"/>
          <w:sz w:val="30"/>
        </w:rPr>
        <w:t>十、其他重要事项的情况说明</w:t>
      </w:r>
    </w:p>
    <w:p w14:paraId="41B671FB">
      <w:pPr>
        <w:spacing w:line="560" w:lineRule="exact"/>
        <w:ind w:firstLine="600"/>
        <w:jc w:val="both"/>
      </w:pPr>
      <w:r>
        <w:rPr>
          <w:rFonts w:ascii="楷体" w:hAnsi="楷体" w:eastAsia="楷体" w:cs="楷体"/>
          <w:b/>
          <w:color w:val="000000"/>
          <w:sz w:val="30"/>
        </w:rPr>
        <w:t>（一）机关运行经费。</w:t>
      </w:r>
    </w:p>
    <w:p w14:paraId="7FF0D81C">
      <w:pPr>
        <w:spacing w:line="560" w:lineRule="exact"/>
        <w:ind w:firstLine="600"/>
        <w:jc w:val="both"/>
      </w:pPr>
      <w:r>
        <w:rPr>
          <w:rFonts w:ascii="仿宋" w:hAnsi="仿宋" w:eastAsia="仿宋" w:cs="仿宋"/>
          <w:b w:val="0"/>
          <w:color w:val="000000"/>
          <w:sz w:val="30"/>
        </w:rPr>
        <w:t>本部门2025年未安排机关运行经费预算。</w:t>
      </w:r>
    </w:p>
    <w:p w14:paraId="6F5CB592">
      <w:pPr>
        <w:spacing w:line="560" w:lineRule="exact"/>
        <w:ind w:firstLine="600"/>
        <w:jc w:val="both"/>
      </w:pPr>
      <w:r>
        <w:rPr>
          <w:rFonts w:ascii="楷体" w:hAnsi="楷体" w:eastAsia="楷体" w:cs="楷体"/>
          <w:b/>
          <w:color w:val="000000"/>
          <w:sz w:val="30"/>
        </w:rPr>
        <w:t>（二）政府采购情况</w:t>
      </w:r>
      <w:r>
        <w:rPr>
          <w:rFonts w:ascii="仿宋" w:hAnsi="仿宋" w:eastAsia="仿宋" w:cs="仿宋"/>
          <w:b w:val="0"/>
          <w:color w:val="000000"/>
          <w:sz w:val="30"/>
        </w:rPr>
        <w:t>本部门2025年安排政府采购预算290.48万元，其中：政府采购货物支出0万元、政府采购工程支出0万元、政府采购服务支出290.48万元。主要项目是：2025年公用经费项目（食堂餐费）</w:t>
      </w:r>
    </w:p>
    <w:p w14:paraId="734A4761">
      <w:pPr>
        <w:spacing w:line="560" w:lineRule="exact"/>
        <w:ind w:firstLine="600"/>
        <w:jc w:val="both"/>
      </w:pPr>
      <w:r>
        <w:rPr>
          <w:rFonts w:ascii="楷体" w:hAnsi="楷体" w:eastAsia="楷体" w:cs="楷体"/>
          <w:b/>
          <w:color w:val="000000"/>
          <w:sz w:val="30"/>
        </w:rPr>
        <w:t>（三）国有资产占用情况</w:t>
      </w:r>
    </w:p>
    <w:p w14:paraId="79A64EE4">
      <w:pPr>
        <w:spacing w:line="560" w:lineRule="exact"/>
        <w:ind w:firstLine="600"/>
        <w:jc w:val="both"/>
      </w:pPr>
      <w:r>
        <w:rPr>
          <w:rFonts w:ascii="仿宋" w:hAnsi="仿宋" w:eastAsia="仿宋" w:cs="仿宋"/>
          <w:b w:val="0"/>
          <w:color w:val="000000"/>
          <w:sz w:val="30"/>
        </w:rPr>
        <w:t>截至2024年12月底，本部门各单位共有车辆1辆、其中：副部（省）级及以上领导用车0辆、主要负责人干部用车0辆、机要通信用车0辆、应急保障用车0辆、执法执勤用车0辆、特种专业技术用车0辆、离退休干部用车0辆、其他用车1辆，其他用车主要包括一般公务用车一辆。单价（账面原值）100万以上的设备0台（套）。</w:t>
      </w:r>
    </w:p>
    <w:p w14:paraId="5A85DBC4">
      <w:pPr>
        <w:spacing w:line="560" w:lineRule="exact"/>
        <w:ind w:firstLine="600"/>
        <w:jc w:val="both"/>
      </w:pPr>
      <w:r>
        <w:rPr>
          <w:rFonts w:ascii="楷体" w:hAnsi="楷体" w:eastAsia="楷体" w:cs="楷体"/>
          <w:b/>
          <w:color w:val="000000"/>
          <w:sz w:val="30"/>
        </w:rPr>
        <w:t>（四）预算绩效情况说明。</w:t>
      </w:r>
    </w:p>
    <w:p w14:paraId="73EAEB4A">
      <w:pPr>
        <w:spacing w:line="560" w:lineRule="exact"/>
        <w:ind w:firstLine="600"/>
        <w:jc w:val="both"/>
      </w:pPr>
      <w:r>
        <w:rPr>
          <w:rFonts w:ascii="仿宋" w:hAnsi="仿宋" w:eastAsia="仿宋" w:cs="仿宋"/>
          <w:b w:val="0"/>
          <w:color w:val="000000"/>
          <w:sz w:val="30"/>
        </w:rPr>
        <w:t>天津市西青区中北镇综合便民服务中心单位2025年实行绩效目标管理的项目30个，涉及预算金额2002.0</w:t>
      </w:r>
      <w:r>
        <w:rPr>
          <w:rFonts w:hint="eastAsia" w:ascii="仿宋" w:hAnsi="仿宋" w:eastAsia="仿宋" w:cs="仿宋"/>
          <w:b w:val="0"/>
          <w:color w:val="000000"/>
          <w:sz w:val="30"/>
          <w:lang w:val="en-US" w:eastAsia="zh-CN"/>
        </w:rPr>
        <w:t>9</w:t>
      </w:r>
      <w:bookmarkStart w:id="0" w:name="_GoBack"/>
      <w:bookmarkEnd w:id="0"/>
      <w:r>
        <w:rPr>
          <w:rFonts w:ascii="仿宋" w:hAnsi="仿宋" w:eastAsia="仿宋" w:cs="仿宋"/>
          <w:b w:val="0"/>
          <w:color w:val="000000"/>
          <w:sz w:val="30"/>
        </w:rPr>
        <w:t>万元。</w:t>
      </w:r>
    </w:p>
    <w:p w14:paraId="6D8A3606">
      <w:pPr>
        <w:pageBreakBefore/>
        <w:spacing w:line="560" w:lineRule="exact"/>
        <w:ind w:firstLine="0"/>
        <w:jc w:val="center"/>
      </w:pPr>
      <w:r>
        <w:rPr>
          <w:rFonts w:ascii="黑体" w:hAnsi="黑体" w:eastAsia="黑体" w:cs="黑体"/>
          <w:b/>
          <w:color w:val="000000"/>
          <w:sz w:val="32"/>
        </w:rPr>
        <w:t>第三部分  名词解释</w:t>
      </w:r>
    </w:p>
    <w:p w14:paraId="51006BF9">
      <w:pPr>
        <w:spacing w:line="560" w:lineRule="exact"/>
        <w:ind w:firstLine="560"/>
        <w:jc w:val="both"/>
      </w:pPr>
      <w:r>
        <w:rPr>
          <w:rFonts w:ascii="仿宋" w:hAnsi="仿宋" w:eastAsia="仿宋" w:cs="仿宋"/>
          <w:b/>
          <w:color w:val="000000"/>
          <w:sz w:val="28"/>
        </w:rPr>
        <w:t>一、部门预算:</w:t>
      </w:r>
      <w:r>
        <w:rPr>
          <w:rFonts w:ascii="仿宋" w:hAnsi="仿宋" w:eastAsia="仿宋" w:cs="仿宋"/>
          <w:b w:val="0"/>
          <w:color w:val="000000"/>
          <w:sz w:val="28"/>
        </w:rPr>
        <w:t>是指主管预算部门依据相关法律、法规和政策规定及其行使职能需要，组织所属预算单位编制并逐级上报、审核、汇总，经财政部门审核后按程序依法批准的部门综合收支计划。</w:t>
      </w:r>
    </w:p>
    <w:p w14:paraId="19C61441">
      <w:pPr>
        <w:spacing w:line="560" w:lineRule="exact"/>
        <w:ind w:firstLine="560"/>
        <w:jc w:val="both"/>
      </w:pPr>
      <w:r>
        <w:rPr>
          <w:rFonts w:ascii="仿宋" w:hAnsi="仿宋" w:eastAsia="仿宋" w:cs="仿宋"/>
          <w:b/>
          <w:color w:val="000000"/>
          <w:sz w:val="28"/>
        </w:rPr>
        <w:t>二、基本支出：</w:t>
      </w:r>
      <w:r>
        <w:rPr>
          <w:rFonts w:ascii="仿宋" w:hAnsi="仿宋" w:eastAsia="仿宋" w:cs="仿宋"/>
          <w:b w:val="0"/>
          <w:color w:val="000000"/>
          <w:sz w:val="28"/>
        </w:rPr>
        <w:t>指为保障机构正常运转、完成日常工作任务而发生的人员支出和公用支出。</w:t>
      </w:r>
    </w:p>
    <w:p w14:paraId="71FADCA1">
      <w:pPr>
        <w:spacing w:line="560" w:lineRule="exact"/>
        <w:ind w:firstLine="560"/>
        <w:jc w:val="both"/>
      </w:pPr>
      <w:r>
        <w:rPr>
          <w:rFonts w:ascii="仿宋" w:hAnsi="仿宋" w:eastAsia="仿宋" w:cs="仿宋"/>
          <w:b/>
          <w:color w:val="000000"/>
          <w:sz w:val="28"/>
        </w:rPr>
        <w:t>三、项目支出:</w:t>
      </w:r>
      <w:r>
        <w:rPr>
          <w:rFonts w:ascii="仿宋" w:hAnsi="仿宋" w:eastAsia="仿宋" w:cs="仿宋"/>
          <w:b w:val="0"/>
          <w:color w:val="000000"/>
          <w:sz w:val="28"/>
        </w:rPr>
        <w:t>指在基本支出之外为完成特定行政任务和事业发展目标所发生的支出。</w:t>
      </w:r>
    </w:p>
    <w:p w14:paraId="26EAE6FB">
      <w:pPr>
        <w:spacing w:line="560" w:lineRule="exact"/>
        <w:ind w:firstLine="560"/>
        <w:jc w:val="both"/>
      </w:pPr>
      <w:r>
        <w:rPr>
          <w:rFonts w:ascii="仿宋" w:hAnsi="仿宋" w:eastAsia="仿宋" w:cs="仿宋"/>
          <w:b/>
          <w:color w:val="000000"/>
          <w:sz w:val="28"/>
        </w:rPr>
        <w:t>四、机关运行经费：</w:t>
      </w:r>
      <w:r>
        <w:rPr>
          <w:rFonts w:ascii="仿宋" w:hAnsi="仿宋" w:eastAsia="仿宋" w:cs="仿宋"/>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4334740">
      <w:pPr>
        <w:pageBreakBefore/>
        <w:spacing w:line="2000" w:lineRule="exact"/>
        <w:ind w:firstLine="0"/>
        <w:jc w:val="center"/>
      </w:pPr>
      <w:r>
        <w:rPr>
          <w:rFonts w:ascii="FZXiaoBiaoSong-B05S" w:hAnsi="FZXiaoBiaoSong-B05S" w:eastAsia="FZXiaoBiaoSong-B05S" w:cs="FZXiaoBiaoSong-B05S"/>
          <w:b/>
          <w:color w:val="000000"/>
          <w:sz w:val="48"/>
        </w:rPr>
        <w:t>第四部分   2025年单位预算表</w:t>
      </w:r>
    </w:p>
    <w:p w14:paraId="324EEE09">
      <w:pPr>
        <w:spacing w:line="560" w:lineRule="exact"/>
        <w:ind w:firstLine="0"/>
        <w:jc w:val="both"/>
      </w:pPr>
      <w:r>
        <w:rPr>
          <w:rFonts w:ascii="楷体" w:hAnsi="楷体" w:eastAsia="楷体" w:cs="楷体"/>
          <w:b/>
          <w:color w:val="000000"/>
          <w:sz w:val="30"/>
        </w:rPr>
        <w:t>一、《部门收支总体情况表》</w:t>
      </w:r>
    </w:p>
    <w:p w14:paraId="7001936A">
      <w:pPr>
        <w:spacing w:line="560" w:lineRule="exact"/>
        <w:ind w:firstLine="0"/>
        <w:jc w:val="both"/>
      </w:pPr>
      <w:r>
        <w:rPr>
          <w:rFonts w:ascii="楷体" w:hAnsi="楷体" w:eastAsia="楷体" w:cs="楷体"/>
          <w:b/>
          <w:color w:val="000000"/>
          <w:sz w:val="30"/>
        </w:rPr>
        <w:t>二、《部门收入总体情况表》</w:t>
      </w:r>
    </w:p>
    <w:p w14:paraId="1BDB4671">
      <w:pPr>
        <w:spacing w:line="560" w:lineRule="exact"/>
        <w:ind w:firstLine="0"/>
        <w:jc w:val="both"/>
      </w:pPr>
      <w:r>
        <w:rPr>
          <w:rFonts w:ascii="楷体" w:hAnsi="楷体" w:eastAsia="楷体" w:cs="楷体"/>
          <w:b/>
          <w:color w:val="000000"/>
          <w:sz w:val="30"/>
        </w:rPr>
        <w:t>三、《部门支出总体情况表》</w:t>
      </w:r>
    </w:p>
    <w:p w14:paraId="0EB68A8C">
      <w:pPr>
        <w:spacing w:line="560" w:lineRule="exact"/>
        <w:ind w:firstLine="0"/>
        <w:jc w:val="both"/>
      </w:pPr>
      <w:r>
        <w:rPr>
          <w:rFonts w:ascii="楷体" w:hAnsi="楷体" w:eastAsia="楷体" w:cs="楷体"/>
          <w:b/>
          <w:color w:val="000000"/>
          <w:sz w:val="30"/>
        </w:rPr>
        <w:t>四、《财政拨款收支总体情况表》</w:t>
      </w:r>
    </w:p>
    <w:p w14:paraId="3E0C8176">
      <w:pPr>
        <w:spacing w:line="560" w:lineRule="exact"/>
        <w:ind w:firstLine="0"/>
        <w:jc w:val="both"/>
      </w:pPr>
      <w:r>
        <w:rPr>
          <w:rFonts w:ascii="楷体" w:hAnsi="楷体" w:eastAsia="楷体" w:cs="楷体"/>
          <w:b/>
          <w:color w:val="000000"/>
          <w:sz w:val="30"/>
        </w:rPr>
        <w:t>五、《一般公共预算支出情况表》</w:t>
      </w:r>
    </w:p>
    <w:p w14:paraId="3F1A0D6A">
      <w:pPr>
        <w:spacing w:line="560" w:lineRule="exact"/>
        <w:ind w:firstLine="0"/>
        <w:jc w:val="both"/>
      </w:pPr>
      <w:r>
        <w:rPr>
          <w:rFonts w:ascii="楷体" w:hAnsi="楷体" w:eastAsia="楷体" w:cs="楷体"/>
          <w:b/>
          <w:color w:val="000000"/>
          <w:sz w:val="30"/>
        </w:rPr>
        <w:t>六、《一般公共预算基本支出情况表》</w:t>
      </w:r>
    </w:p>
    <w:p w14:paraId="726034D5">
      <w:pPr>
        <w:spacing w:line="560" w:lineRule="exact"/>
        <w:ind w:firstLine="0"/>
        <w:jc w:val="both"/>
      </w:pPr>
      <w:r>
        <w:rPr>
          <w:rFonts w:ascii="楷体" w:hAnsi="楷体" w:eastAsia="楷体" w:cs="楷体"/>
          <w:b/>
          <w:color w:val="000000"/>
          <w:sz w:val="30"/>
        </w:rPr>
        <w:t>七、《一般公共预算“三公”经费支出情况表》</w:t>
      </w:r>
    </w:p>
    <w:p w14:paraId="71DEDB7B">
      <w:pPr>
        <w:spacing w:line="560" w:lineRule="exact"/>
        <w:ind w:firstLine="0"/>
        <w:jc w:val="both"/>
      </w:pPr>
      <w:r>
        <w:rPr>
          <w:rFonts w:ascii="楷体" w:hAnsi="楷体" w:eastAsia="楷体" w:cs="楷体"/>
          <w:b/>
          <w:color w:val="000000"/>
          <w:sz w:val="30"/>
        </w:rPr>
        <w:t>八、《政府性基金预算支出情况表》</w:t>
      </w:r>
    </w:p>
    <w:p w14:paraId="6DF8F2FA">
      <w:pPr>
        <w:spacing w:line="560" w:lineRule="exact"/>
        <w:ind w:firstLine="0"/>
        <w:jc w:val="both"/>
      </w:pPr>
      <w:r>
        <w:rPr>
          <w:rFonts w:ascii="楷体" w:hAnsi="楷体" w:eastAsia="楷体" w:cs="楷体"/>
          <w:b/>
          <w:color w:val="000000"/>
          <w:sz w:val="30"/>
        </w:rPr>
        <w:t>九、《国有资本经营预算支出情况表》</w:t>
      </w:r>
    </w:p>
    <w:p w14:paraId="5AFAC6B1">
      <w:pPr>
        <w:spacing w:line="560" w:lineRule="exact"/>
        <w:ind w:firstLine="0"/>
        <w:jc w:val="both"/>
      </w:pPr>
      <w:r>
        <w:rPr>
          <w:rFonts w:ascii="楷体" w:hAnsi="楷体" w:eastAsia="楷体" w:cs="楷体"/>
          <w:b/>
          <w:color w:val="000000"/>
          <w:sz w:val="30"/>
        </w:rPr>
        <w:t>十、《项目支出表》</w:t>
      </w:r>
    </w:p>
    <w:p w14:paraId="58B80A53">
      <w:pPr>
        <w:spacing w:line="560" w:lineRule="exact"/>
        <w:ind w:firstLine="0"/>
        <w:jc w:val="both"/>
      </w:pPr>
      <w:r>
        <w:rPr>
          <w:rFonts w:ascii="楷体" w:hAnsi="楷体" w:eastAsia="楷体" w:cs="楷体"/>
          <w:b/>
          <w:color w:val="000000"/>
          <w:sz w:val="30"/>
        </w:rPr>
        <w:t>十一、关于空表说明</w:t>
      </w:r>
    </w:p>
    <w:p w14:paraId="19A303D2">
      <w:pPr>
        <w:pageBreakBefore/>
        <w:spacing w:line="560" w:lineRule="exact"/>
        <w:ind w:firstLine="0"/>
        <w:jc w:val="both"/>
      </w:pPr>
      <w:r>
        <w:rPr>
          <w:rFonts w:ascii="仿宋" w:hAnsi="仿宋" w:eastAsia="仿宋" w:cs="仿宋"/>
          <w:b/>
          <w:color w:val="000000"/>
          <w:sz w:val="30"/>
        </w:rPr>
        <w:t>十一、关于空表的说明</w:t>
      </w:r>
    </w:p>
    <w:p w14:paraId="3BC9A687">
      <w:pPr>
        <w:spacing w:line="560" w:lineRule="exact"/>
        <w:ind w:firstLine="600"/>
        <w:jc w:val="both"/>
      </w:pPr>
      <w:r>
        <w:rPr>
          <w:rFonts w:ascii="仿宋" w:hAnsi="仿宋" w:eastAsia="仿宋" w:cs="仿宋"/>
          <w:b w:val="0"/>
          <w:color w:val="000000"/>
          <w:sz w:val="30"/>
        </w:rPr>
        <w:t>本单位2025年政府性基金预算支出情况表为空表</w:t>
      </w:r>
    </w:p>
    <w:p w14:paraId="33E4C537">
      <w:pPr>
        <w:spacing w:line="560" w:lineRule="exact"/>
        <w:ind w:firstLine="600"/>
        <w:jc w:val="both"/>
      </w:pPr>
      <w:r>
        <w:rPr>
          <w:rFonts w:ascii="仿宋" w:hAnsi="仿宋" w:eastAsia="仿宋" w:cs="仿宋"/>
          <w:b w:val="0"/>
          <w:color w:val="000000"/>
          <w:sz w:val="30"/>
        </w:rPr>
        <w:t>本单位2025年国有资本经营预算支出情况表为空表</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iaoBiaoSong-B05S">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splitPgBreakAndParaMark/>
    <w:compatSetting w:name="compatibilityMode" w:uri="http://schemas.microsoft.com/office/word" w:val="12"/>
  </w:compat>
  <w:rsids>
    <w:rsidRoot w:val="00000000"/>
    <w:rsid w:val="29F232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5322</Words>
  <Characters>5851</Characters>
  <TotalTime>20</TotalTime>
  <ScaleCrop>false</ScaleCrop>
  <LinksUpToDate>false</LinksUpToDate>
  <CharactersWithSpaces>5897</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2025-03-21T00:58:00Z</dcterms:created>
  <dc:creator>Apache POI</dc:creator>
  <cp:lastModifiedBy>hz</cp:lastModifiedBy>
  <dcterms:modified xsi:type="dcterms:W3CDTF">2025-04-10T00:41:54Z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80EF1B58F1024A8B8D91F468DA16DD14_12</vt:lpwstr>
  </property>
</Properties>
</file>