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bCs/>
          <w:sz w:val="52"/>
          <w:szCs w:val="52"/>
        </w:rPr>
      </w:pPr>
      <w:bookmarkStart w:id="0" w:name="_Hlk46390096"/>
      <w:r>
        <w:rPr>
          <w:rFonts w:ascii="Times New Roman" w:eastAsia="方正小标宋简体" w:hAnsi="Times New Roman" w:cs="Times New Roman"/>
          <w:b/>
          <w:bCs/>
          <w:sz w:val="52"/>
          <w:szCs w:val="52"/>
        </w:rPr>
        <w:t>西青区</w:t>
      </w:r>
      <w:r>
        <w:rPr>
          <w:rFonts w:ascii="Times New Roman" w:eastAsia="方正小标宋简体" w:hAnsi="Times New Roman" w:cs="Times New Roman"/>
          <w:b/>
          <w:bCs/>
          <w:sz w:val="52"/>
          <w:szCs w:val="52"/>
        </w:rPr>
        <w:t>2019</w:t>
      </w:r>
      <w:r>
        <w:rPr>
          <w:rFonts w:ascii="Times New Roman" w:eastAsia="方正小标宋简体" w:hAnsi="Times New Roman" w:cs="Times New Roman"/>
          <w:b/>
          <w:bCs/>
          <w:sz w:val="52"/>
          <w:szCs w:val="52"/>
        </w:rPr>
        <w:t>年科技攻关和科技成果转化及产业化项目</w:t>
      </w:r>
    </w:p>
    <w:bookmarkEnd w:id="0"/>
    <w:p>
      <w:pPr>
        <w:jc w:val="center"/>
        <w:rPr>
          <w:rFonts w:ascii="Times New Roman" w:eastAsia="方正小标宋简体" w:hAnsi="Times New Roman" w:cs="Times New Roman"/>
          <w:b/>
          <w:bCs/>
          <w:sz w:val="52"/>
          <w:szCs w:val="52"/>
        </w:rPr>
      </w:pPr>
    </w:p>
    <w:p>
      <w:pPr>
        <w:jc w:val="center"/>
        <w:rPr>
          <w:rFonts w:ascii="Times New Roman" w:eastAsia="方正小标宋简体" w:hAnsi="Times New Roman" w:cs="Times New Roman"/>
          <w:b/>
          <w:bCs/>
          <w:sz w:val="52"/>
          <w:szCs w:val="52"/>
        </w:rPr>
      </w:pPr>
      <w:r>
        <w:rPr>
          <w:rFonts w:ascii="Times New Roman" w:eastAsia="方正小标宋简体" w:hAnsi="Times New Roman" w:cs="Times New Roman"/>
          <w:b/>
          <w:bCs/>
          <w:sz w:val="52"/>
          <w:szCs w:val="52"/>
        </w:rPr>
        <w:t>绩效评价报告</w:t>
      </w: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28"/>
          <w:szCs w:val="28"/>
        </w:rPr>
      </w:pPr>
    </w:p>
    <w:p>
      <w:pPr>
        <w:jc w:val="center"/>
        <w:rPr>
          <w:rFonts w:ascii="Times New Roman" w:eastAsia="方正小标宋简体" w:hAnsi="Times New Roman" w:cs="Times New Roman"/>
          <w:b/>
          <w:sz w:val="36"/>
          <w:szCs w:val="36"/>
        </w:rPr>
      </w:pPr>
      <w:proofErr w:type="gramStart"/>
      <w:r>
        <w:rPr>
          <w:rFonts w:ascii="Times New Roman" w:eastAsia="方正小标宋简体" w:hAnsi="Times New Roman" w:cs="Times New Roman"/>
          <w:b/>
          <w:sz w:val="36"/>
          <w:szCs w:val="36"/>
        </w:rPr>
        <w:t>天津健信会计师</w:t>
      </w:r>
      <w:proofErr w:type="gramEnd"/>
      <w:r>
        <w:rPr>
          <w:rFonts w:ascii="Times New Roman" w:eastAsia="方正小标宋简体" w:hAnsi="Times New Roman" w:cs="Times New Roman"/>
          <w:b/>
          <w:sz w:val="36"/>
          <w:szCs w:val="36"/>
        </w:rPr>
        <w:t>事务所（普通合伙）</w:t>
      </w:r>
    </w:p>
    <w:p>
      <w:pPr>
        <w:jc w:val="center"/>
        <w:rPr>
          <w:rFonts w:ascii="Times New Roman" w:eastAsia="方正小标宋简体" w:hAnsi="Times New Roman" w:cs="Times New Roman"/>
          <w:b/>
          <w:sz w:val="30"/>
          <w:szCs w:val="30"/>
        </w:rPr>
      </w:pPr>
    </w:p>
    <w:p>
      <w:pPr>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2020</w:t>
      </w:r>
      <w:r>
        <w:rPr>
          <w:rFonts w:ascii="Times New Roman" w:eastAsia="方正小标宋简体" w:hAnsi="Times New Roman" w:cs="Times New Roman"/>
          <w:b/>
          <w:sz w:val="36"/>
          <w:szCs w:val="36"/>
        </w:rPr>
        <w:t>年</w:t>
      </w:r>
      <w:r>
        <w:rPr>
          <w:rFonts w:ascii="Times New Roman" w:eastAsia="方正小标宋简体" w:hAnsi="Times New Roman" w:cs="Times New Roman"/>
          <w:b/>
          <w:sz w:val="36"/>
          <w:szCs w:val="36"/>
        </w:rPr>
        <w:t>11</w:t>
      </w:r>
      <w:r>
        <w:rPr>
          <w:rFonts w:ascii="Times New Roman" w:eastAsia="方正小标宋简体" w:hAnsi="Times New Roman" w:cs="Times New Roman"/>
          <w:b/>
          <w:sz w:val="36"/>
          <w:szCs w:val="36"/>
        </w:rPr>
        <w:t>月</w:t>
      </w:r>
      <w:r>
        <w:rPr>
          <w:rFonts w:ascii="Times New Roman" w:eastAsia="方正小标宋简体" w:hAnsi="Times New Roman" w:cs="Times New Roman"/>
          <w:b/>
          <w:sz w:val="36"/>
          <w:szCs w:val="36"/>
        </w:rPr>
        <w:t>2</w:t>
      </w:r>
      <w:r>
        <w:rPr>
          <w:rFonts w:ascii="Times New Roman" w:eastAsia="方正小标宋简体" w:hAnsi="Times New Roman" w:cs="Times New Roman"/>
          <w:b/>
          <w:sz w:val="36"/>
          <w:szCs w:val="36"/>
        </w:rPr>
        <w:t>日</w:t>
      </w:r>
    </w:p>
    <w:p>
      <w:pPr>
        <w:jc w:val="center"/>
        <w:rPr>
          <w:rFonts w:ascii="Times New Roman" w:eastAsia="方正小标宋简体" w:hAnsi="Times New Roman" w:cs="Times New Roman"/>
          <w:sz w:val="36"/>
          <w:szCs w:val="36"/>
        </w:rPr>
      </w:pPr>
    </w:p>
    <w:p>
      <w:pPr>
        <w:jc w:val="center"/>
        <w:rPr>
          <w:rFonts w:ascii="Times New Roman" w:eastAsia="仿宋" w:hAnsi="Times New Roman" w:cs="Times New Roman"/>
          <w:b/>
        </w:rPr>
        <w:sectPr>
          <w:headerReference w:type="default" r:id="rId9"/>
          <w:footerReference w:type="default" r:id="rId10"/>
          <w:pgSz w:w="11906" w:h="16838"/>
          <w:pgMar w:top="1440" w:right="1133" w:bottom="1440" w:left="1985" w:header="851" w:footer="992" w:gutter="0"/>
          <w:pgNumType w:start="1"/>
          <w:cols w:space="425"/>
          <w:docGrid w:type="lines" w:linePitch="312"/>
        </w:sectPr>
      </w:pPr>
      <w:bookmarkStart w:id="1" w:name="_Hlk46390127"/>
    </w:p>
    <w:p>
      <w:pPr>
        <w:spacing w:beforeLines="100" w:afterLines="100" w:line="48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西青区</w:t>
      </w:r>
      <w:r>
        <w:rPr>
          <w:rFonts w:ascii="Times New Roman" w:eastAsia="方正小标宋简体" w:hAnsi="Times New Roman" w:cs="Times New Roman"/>
          <w:sz w:val="44"/>
          <w:szCs w:val="44"/>
        </w:rPr>
        <w:t>2019</w:t>
      </w:r>
      <w:r>
        <w:rPr>
          <w:rFonts w:ascii="Times New Roman" w:eastAsia="方正小标宋简体" w:hAnsi="Times New Roman" w:cs="Times New Roman"/>
          <w:sz w:val="44"/>
          <w:szCs w:val="44"/>
        </w:rPr>
        <w:t>年科技攻关和科技成果</w:t>
      </w:r>
    </w:p>
    <w:p>
      <w:pPr>
        <w:spacing w:beforeLines="100" w:afterLines="100" w:line="48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转化及产业化项目</w:t>
      </w:r>
      <w:bookmarkEnd w:id="1"/>
      <w:r>
        <w:rPr>
          <w:rFonts w:ascii="Times New Roman" w:eastAsia="方正小标宋简体" w:hAnsi="Times New Roman" w:cs="Times New Roman"/>
          <w:sz w:val="44"/>
          <w:szCs w:val="44"/>
        </w:rPr>
        <w:t>绩效评价报告</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根据《财政支出绩效评价管理暂行办法》、天津市政府办公厅《转发市财政局关于推进我市预算绩效管理工作指导意见的通知》、《天津市财政支出绩效评价管理办法》等法规文件要求，我们</w:t>
      </w:r>
      <w:bookmarkStart w:id="2" w:name="_Hlk46240116"/>
      <w:r>
        <w:rPr>
          <w:rFonts w:ascii="Times New Roman" w:eastAsia="仿宋_GB2312" w:hAnsi="Times New Roman" w:cs="Times New Roman"/>
          <w:sz w:val="32"/>
          <w:szCs w:val="32"/>
        </w:rPr>
        <w:t>对</w:t>
      </w:r>
      <w:bookmarkEnd w:id="2"/>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年度重大科技创新项目进行了绩效评价。现将有关情况报告如下：</w:t>
      </w:r>
    </w:p>
    <w:p>
      <w:pPr>
        <w:pStyle w:val="af"/>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一、项目基本情况</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为进一步加快发展先进制造业，推动我区工业经济发展质量变革、效率变革、动力变革，提高全要素生产率，推动《西青区创新驱动发展战略行动方案》（西青政发〔</w:t>
      </w:r>
      <w:r>
        <w:rPr>
          <w:rFonts w:ascii="Times New Roman" w:eastAsia="仿宋_GB2312" w:hAnsi="Times New Roman" w:cs="Times New Roman"/>
          <w:bCs/>
          <w:sz w:val="32"/>
          <w:szCs w:val="32"/>
        </w:rPr>
        <w:t>2016</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号）和《西青区工业企业创新驱动发展实施方案》（西青政发</w:t>
      </w:r>
      <w:bookmarkStart w:id="3" w:name="_Hlk46240033"/>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号</w:t>
      </w:r>
      <w:bookmarkEnd w:id="3"/>
      <w:r>
        <w:rPr>
          <w:rFonts w:ascii="Times New Roman" w:eastAsia="仿宋_GB2312" w:hAnsi="Times New Roman" w:cs="Times New Roman"/>
          <w:bCs/>
          <w:sz w:val="32"/>
          <w:szCs w:val="32"/>
        </w:rPr>
        <w:t>）落到实处，根据《天津市西青区人民政府办公室关于印发西青区鼓励高端制造创新驱动发展政策意见的通知》（西青政办发〔</w:t>
      </w:r>
      <w:r>
        <w:rPr>
          <w:rFonts w:ascii="Times New Roman" w:eastAsia="仿宋_GB2312" w:hAnsi="Times New Roman" w:cs="Times New Roman"/>
          <w:bCs/>
          <w:sz w:val="32"/>
          <w:szCs w:val="32"/>
        </w:rPr>
        <w:t>2017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号）文件精神，西青区科技局制定了《对我区科技型中小企业与高校、科研院所共同开展的科技攻关和科技成果转化及产业化项目予以支持的实施细则》，以对本区科技型中小企业与高校、科研院所共同开展的科技攻关和科技成果转化及产业化项目给予资助。</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本项目计划对工商注册地、税务征管关系在西青区内，有健全的财务制度、具有独立法人资格、实行独立核算，且未来</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年内</w:t>
      </w:r>
      <w:proofErr w:type="gramStart"/>
      <w:r>
        <w:rPr>
          <w:rFonts w:ascii="Times New Roman" w:eastAsia="仿宋_GB2312" w:hAnsi="Times New Roman" w:cs="Times New Roman"/>
          <w:bCs/>
          <w:sz w:val="32"/>
          <w:szCs w:val="32"/>
        </w:rPr>
        <w:t>不</w:t>
      </w:r>
      <w:proofErr w:type="gramEnd"/>
      <w:r>
        <w:rPr>
          <w:rFonts w:ascii="Times New Roman" w:eastAsia="仿宋_GB2312" w:hAnsi="Times New Roman" w:cs="Times New Roman"/>
          <w:bCs/>
          <w:sz w:val="32"/>
          <w:szCs w:val="32"/>
        </w:rPr>
        <w:t>迁离注册及办公地址、不改变在西青区的纳税主体地位、不减少注册资本的工业企业或机构给予不超过</w:t>
      </w:r>
      <w:r>
        <w:rPr>
          <w:rFonts w:ascii="Times New Roman" w:eastAsia="仿宋_GB2312" w:hAnsi="Times New Roman" w:cs="Times New Roman"/>
          <w:bCs/>
          <w:sz w:val="32"/>
          <w:szCs w:val="32"/>
        </w:rPr>
        <w:t>50</w:t>
      </w:r>
      <w:r>
        <w:rPr>
          <w:rFonts w:ascii="Times New Roman" w:eastAsia="仿宋_GB2312" w:hAnsi="Times New Roman" w:cs="Times New Roman"/>
          <w:bCs/>
          <w:sz w:val="32"/>
          <w:szCs w:val="32"/>
        </w:rPr>
        <w:t>万元的资助。</w:t>
      </w:r>
    </w:p>
    <w:p>
      <w:pPr>
        <w:pStyle w:val="af"/>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二、绩效评价工作情况</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（一）绩效评价目的</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绩效评价是以科学规范、公正公开、分级分类、绩效相关为原则，运用科学、合理的绩效评价指标、评价标准和评价方法，对财政支出的经济性、效率性和效益性进行客观、公正的评价。</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通过总结西青区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年科技攻关和科技成果转化及产业化项目管理与实施经验，为相关部门决策、管理提供参考依据；推动西青区建立以绩效评价结果为导向的财政资金分配与管理制度，提升西青区财政资金科学化管理水平。</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对西青区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年科技攻关和科技成果转化及产业化项目的绩效评价，可以清楚地了解科技专项资金的效益情况和财政资金的使用情况。</w:t>
      </w:r>
    </w:p>
    <w:p>
      <w:pPr>
        <w:ind w:firstLine="560"/>
        <w:rPr>
          <w:rFonts w:ascii="Times New Roman" w:eastAsia="楷体_GB2312" w:hAnsi="Times New Roman" w:cs="Times New Roman"/>
          <w:sz w:val="32"/>
          <w:szCs w:val="32"/>
        </w:rPr>
      </w:pPr>
      <w:r>
        <w:rPr>
          <w:rFonts w:ascii="Times New Roman" w:eastAsia="楷体_GB2312" w:hAnsi="Times New Roman" w:cs="Times New Roman"/>
          <w:sz w:val="32"/>
          <w:szCs w:val="32"/>
        </w:rPr>
        <w:t>（二）绩效评价原则、评价指标体系、评价方法</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绩效评价原则</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）科学规范原则。绩效评价应按照规范的程序、科学可行的要求，采用定量与定性分析相结合的方法实施。</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）公正公开原则。绩效评价应符合真实、客观、公平、公正的要求，依法公开并接受监督。</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）分级分类原则。绩效评价由财政部门和各预算单位主管部门根据评价对象的特点分类组织实施。</w:t>
      </w:r>
    </w:p>
    <w:p>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）绩效相关原则。绩效评价应针对具体支出及其产出效果进行，评价结果要清晰反映两者之间紧密对应关系。</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绩效评价指标体系</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体系分为四大部分，即项目投入、过程、产出、效果。这四大部分反映了一个项目从制定计划、组织实施到效益的整个过程，采取百分制的计分方式。主要包括项目实施计划、组织管理、项目完成情况、资金落实及支出、资金使用合法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性和社会效益等情况。</w:t>
      </w:r>
    </w:p>
    <w:p>
      <w:pPr>
        <w:ind w:firstLineChars="225" w:firstLine="72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绩效评价方法</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根据《财政部关于印发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财政支出绩效评价管理办法</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的通知》、天津市财政局《天津市财政支出绩效评价管理办法》，结合本项目特点，成立专门</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进行评价体系的构建。</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评价工作遵循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客观、公正、科学、规范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以结果为导向、基于证据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的绩效评价方法，主要从项目决策、项目管理、项目绩效三个方面对评价目标进行逐步分解，从定性与定量两个角度综合</w:t>
      </w:r>
      <w:proofErr w:type="gramStart"/>
      <w:r>
        <w:rPr>
          <w:rFonts w:ascii="Times New Roman" w:eastAsia="仿宋_GB2312" w:hAnsi="Times New Roman" w:cs="Times New Roman"/>
          <w:sz w:val="32"/>
          <w:szCs w:val="32"/>
        </w:rPr>
        <w:t>考量</w:t>
      </w:r>
      <w:proofErr w:type="gramEnd"/>
      <w:r>
        <w:rPr>
          <w:rFonts w:ascii="Times New Roman" w:eastAsia="仿宋_GB2312" w:hAnsi="Times New Roman" w:cs="Times New Roman"/>
          <w:sz w:val="32"/>
          <w:szCs w:val="32"/>
        </w:rPr>
        <w:t>，评价资金使用的效率与效益。评价主要采用比较分析法和因素分析法。</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比较分析法是指通过对绩效目标与实施效果、历史与当期情况、不同部门和地区同类支出的比较，综合分析绩效目标实现程度。比较法主要适用于财政项目资金管理，通常也通过案例对比分析进行评判。</w:t>
      </w:r>
    </w:p>
    <w:p>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因素分析法是指通过综合分析影响绩效目标实现、实施效果的内外因素，评价绩效目标的实现程度。许多支出项目运用因素分析法，通过不同因素的权重评比，进行综合分析。</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（三）绩效评价工作过程</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前期准备</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事务所接受委托后，成立了绩效评价工作组，聘请相关行业专家参与被评价项目相关专业技术指标的确定和评价工作的实施；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）进行前期调研，收集与评价项目立项、实施细则、项目初审等相关的资料，并对相关资料进行整理分析。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组织实施</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）对项目资金的收支进行审核工作，主要包括资金申请与预算批复的法定程序，资金拨付、支出及财务管理的规范情况；</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）对项目资金的实施进行审核工作，主要包括评价项目有关的立项、实施细则、项目初审、项目管理办法等文件资料；</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）根据具体审核情况，</w:t>
      </w:r>
      <w:proofErr w:type="gramStart"/>
      <w:r>
        <w:rPr>
          <w:rFonts w:ascii="Times New Roman" w:eastAsia="仿宋_GB2312" w:hAnsi="Times New Roman" w:cs="Times New Roman"/>
          <w:sz w:val="32"/>
          <w:szCs w:val="32"/>
        </w:rPr>
        <w:t>评价组</w:t>
      </w:r>
      <w:proofErr w:type="gramEnd"/>
      <w:r>
        <w:rPr>
          <w:rFonts w:ascii="Times New Roman" w:eastAsia="仿宋_GB2312" w:hAnsi="Times New Roman" w:cs="Times New Roman"/>
          <w:sz w:val="32"/>
          <w:szCs w:val="32"/>
        </w:rPr>
        <w:t>结合专家意见，从项目决策、项目管理、项目绩效方面对项目进行分析评议，确定绩效评价指标体系；</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）现场沟通及考察，对项目涉及的各单位进行现场沟通及考察，审核科技专项资金的使用去向、申报项目的建设情况、申报项目相关产品的销售情况、项目申报单位的财务状况等。</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分析评价</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）评价小组根据项目核实情况，按照所确定的评价指标体系对项目绩效情况进行评价打分，得出绩效等级；</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）总结评价结论，同时归纳问题、提出建议。</w:t>
      </w:r>
    </w:p>
    <w:p>
      <w:pPr>
        <w:pStyle w:val="af"/>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三、绩效评价指标分析情况</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（一）项目资金情况分析</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项目资金到位情况分析</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我们现场对西青区科技局的相关会计收支明细账、会计凭证等资料进行了详细的审核，西青区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年科技攻关和科技成果转化及产业化项目，涉及被扶持单位</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家，涉及项目资金</w:t>
      </w:r>
      <w:r>
        <w:rPr>
          <w:rFonts w:ascii="Times New Roman" w:eastAsia="仿宋_GB2312" w:hAnsi="Times New Roman" w:cs="Times New Roman"/>
          <w:sz w:val="32"/>
          <w:szCs w:val="32"/>
        </w:rPr>
        <w:t>222.90</w:t>
      </w:r>
      <w:r>
        <w:rPr>
          <w:rFonts w:ascii="Times New Roman" w:eastAsia="仿宋_GB2312" w:hAnsi="Times New Roman" w:cs="Times New Roman"/>
          <w:sz w:val="32"/>
          <w:szCs w:val="32"/>
        </w:rPr>
        <w:t>万元。</w:t>
      </w:r>
    </w:p>
    <w:p>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日，上述资金全部到位，并发放至</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家被扶持单位。具体明细如下：</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14"/>
        <w:gridCol w:w="2126"/>
        <w:gridCol w:w="1553"/>
        <w:gridCol w:w="1134"/>
        <w:gridCol w:w="856"/>
      </w:tblGrid>
      <w:tr>
        <w:trPr>
          <w:trHeight w:val="663"/>
          <w:tblHeader/>
          <w:jc w:val="center"/>
        </w:trPr>
        <w:tc>
          <w:tcPr>
            <w:tcW w:w="18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项目名称</w:t>
            </w:r>
          </w:p>
        </w:tc>
        <w:tc>
          <w:tcPr>
            <w:tcW w:w="117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申报单位</w:t>
            </w:r>
          </w:p>
        </w:tc>
        <w:tc>
          <w:tcPr>
            <w:tcW w:w="855"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项目合作单位</w:t>
            </w:r>
          </w:p>
        </w:tc>
        <w:tc>
          <w:tcPr>
            <w:tcW w:w="624"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补助金额</w:t>
            </w:r>
          </w:p>
        </w:tc>
        <w:tc>
          <w:tcPr>
            <w:tcW w:w="471"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资金到位情况</w:t>
            </w:r>
          </w:p>
        </w:tc>
      </w:tr>
      <w:tr>
        <w:trPr>
          <w:trHeight w:val="680"/>
          <w:jc w:val="center"/>
        </w:trPr>
        <w:tc>
          <w:tcPr>
            <w:tcW w:w="18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应用新型智能化</w:t>
            </w:r>
            <w:r>
              <w:rPr>
                <w:rFonts w:ascii="Times New Roman" w:eastAsia="仿宋_GB2312" w:hAnsi="Times New Roman" w:cs="Times New Roman"/>
                <w:kern w:val="0"/>
                <w:sz w:val="24"/>
                <w:szCs w:val="24"/>
              </w:rPr>
              <w:t>VOCs</w:t>
            </w:r>
            <w:r>
              <w:rPr>
                <w:rFonts w:ascii="Times New Roman" w:eastAsia="仿宋_GB2312" w:hAnsi="Times New Roman" w:cs="Times New Roman"/>
                <w:kern w:val="0"/>
                <w:sz w:val="24"/>
                <w:szCs w:val="24"/>
              </w:rPr>
              <w:t>废气治理技术研发与引用</w:t>
            </w:r>
          </w:p>
        </w:tc>
        <w:tc>
          <w:tcPr>
            <w:tcW w:w="117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天津天迈节能设备有限公司</w:t>
            </w:r>
          </w:p>
        </w:tc>
        <w:tc>
          <w:tcPr>
            <w:tcW w:w="855"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河北工业大学</w:t>
            </w:r>
          </w:p>
        </w:tc>
        <w:tc>
          <w:tcPr>
            <w:tcW w:w="624"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50</w:t>
            </w:r>
            <w:r>
              <w:rPr>
                <w:rFonts w:ascii="Times New Roman" w:eastAsia="仿宋_GB2312" w:hAnsi="Times New Roman" w:cs="Times New Roman"/>
                <w:kern w:val="0"/>
                <w:sz w:val="24"/>
                <w:szCs w:val="24"/>
              </w:rPr>
              <w:t>万元</w:t>
            </w:r>
          </w:p>
        </w:tc>
        <w:tc>
          <w:tcPr>
            <w:tcW w:w="471"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已到位</w:t>
            </w:r>
          </w:p>
        </w:tc>
      </w:tr>
      <w:tr>
        <w:trPr>
          <w:trHeight w:val="680"/>
          <w:jc w:val="center"/>
        </w:trPr>
        <w:tc>
          <w:tcPr>
            <w:tcW w:w="18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绿道成</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智能交通车速诱导技术及系统</w:t>
            </w:r>
          </w:p>
        </w:tc>
        <w:tc>
          <w:tcPr>
            <w:tcW w:w="117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爱易成技术（天津）有限公司</w:t>
            </w:r>
          </w:p>
        </w:tc>
        <w:tc>
          <w:tcPr>
            <w:tcW w:w="855"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天津大学</w:t>
            </w:r>
          </w:p>
        </w:tc>
        <w:tc>
          <w:tcPr>
            <w:tcW w:w="624"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50</w:t>
            </w:r>
            <w:r>
              <w:rPr>
                <w:rFonts w:ascii="Times New Roman" w:eastAsia="仿宋_GB2312" w:hAnsi="Times New Roman" w:cs="Times New Roman"/>
                <w:kern w:val="0"/>
                <w:sz w:val="24"/>
                <w:szCs w:val="24"/>
              </w:rPr>
              <w:t>万元</w:t>
            </w:r>
          </w:p>
        </w:tc>
        <w:tc>
          <w:tcPr>
            <w:tcW w:w="471"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已到位</w:t>
            </w:r>
          </w:p>
        </w:tc>
      </w:tr>
      <w:tr>
        <w:trPr>
          <w:trHeight w:val="680"/>
          <w:jc w:val="center"/>
        </w:trPr>
        <w:tc>
          <w:tcPr>
            <w:tcW w:w="18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经典名方</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清肺</w:t>
            </w:r>
            <w:proofErr w:type="gramStart"/>
            <w:r>
              <w:rPr>
                <w:rFonts w:ascii="Times New Roman" w:eastAsia="仿宋_GB2312" w:hAnsi="Times New Roman" w:cs="Times New Roman"/>
                <w:kern w:val="0"/>
                <w:sz w:val="24"/>
                <w:szCs w:val="24"/>
              </w:rPr>
              <w:t>汤标准</w:t>
            </w:r>
            <w:proofErr w:type="gramEnd"/>
            <w:r>
              <w:rPr>
                <w:rFonts w:ascii="Times New Roman" w:eastAsia="仿宋_GB2312" w:hAnsi="Times New Roman" w:cs="Times New Roman"/>
                <w:kern w:val="0"/>
                <w:sz w:val="24"/>
                <w:szCs w:val="24"/>
              </w:rPr>
              <w:t>颗粒研究</w:t>
            </w:r>
          </w:p>
        </w:tc>
        <w:tc>
          <w:tcPr>
            <w:tcW w:w="117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天津同仁堂集团</w:t>
            </w:r>
          </w:p>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股份有限公司</w:t>
            </w:r>
          </w:p>
        </w:tc>
        <w:tc>
          <w:tcPr>
            <w:tcW w:w="855"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天津中医药</w:t>
            </w:r>
          </w:p>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大学</w:t>
            </w:r>
          </w:p>
        </w:tc>
        <w:tc>
          <w:tcPr>
            <w:tcW w:w="624"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50</w:t>
            </w:r>
            <w:r>
              <w:rPr>
                <w:rFonts w:ascii="Times New Roman" w:eastAsia="仿宋_GB2312" w:hAnsi="Times New Roman" w:cs="Times New Roman"/>
                <w:kern w:val="0"/>
                <w:sz w:val="24"/>
                <w:szCs w:val="24"/>
              </w:rPr>
              <w:t>万元</w:t>
            </w:r>
          </w:p>
        </w:tc>
        <w:tc>
          <w:tcPr>
            <w:tcW w:w="471"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已到位</w:t>
            </w:r>
          </w:p>
        </w:tc>
      </w:tr>
      <w:tr>
        <w:trPr>
          <w:trHeight w:val="680"/>
          <w:jc w:val="center"/>
        </w:trPr>
        <w:tc>
          <w:tcPr>
            <w:tcW w:w="18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基于互联网</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肉类食品产运销与安全保障体系京津冀一体化产业化工程</w:t>
            </w:r>
          </w:p>
        </w:tc>
        <w:tc>
          <w:tcPr>
            <w:tcW w:w="117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天津二商迎宾肉类食品有限公司</w:t>
            </w:r>
          </w:p>
        </w:tc>
        <w:tc>
          <w:tcPr>
            <w:tcW w:w="855"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天津科技大学</w:t>
            </w:r>
          </w:p>
        </w:tc>
        <w:tc>
          <w:tcPr>
            <w:tcW w:w="624"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50</w:t>
            </w:r>
            <w:r>
              <w:rPr>
                <w:rFonts w:ascii="Times New Roman" w:eastAsia="仿宋_GB2312" w:hAnsi="Times New Roman" w:cs="Times New Roman"/>
                <w:kern w:val="0"/>
                <w:sz w:val="24"/>
                <w:szCs w:val="24"/>
              </w:rPr>
              <w:t>万元</w:t>
            </w:r>
          </w:p>
        </w:tc>
        <w:tc>
          <w:tcPr>
            <w:tcW w:w="471"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已到位</w:t>
            </w:r>
          </w:p>
        </w:tc>
      </w:tr>
      <w:tr>
        <w:trPr>
          <w:trHeight w:val="680"/>
          <w:jc w:val="center"/>
        </w:trPr>
        <w:tc>
          <w:tcPr>
            <w:tcW w:w="18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紧固件生产管理的智能化改造提升</w:t>
            </w:r>
          </w:p>
        </w:tc>
        <w:tc>
          <w:tcPr>
            <w:tcW w:w="117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天津市浩越全五金制品股份有限公司</w:t>
            </w:r>
          </w:p>
        </w:tc>
        <w:tc>
          <w:tcPr>
            <w:tcW w:w="855"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天津工业大学</w:t>
            </w:r>
          </w:p>
        </w:tc>
        <w:tc>
          <w:tcPr>
            <w:tcW w:w="624"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13</w:t>
            </w:r>
            <w:r>
              <w:rPr>
                <w:rFonts w:ascii="Times New Roman" w:eastAsia="仿宋_GB2312" w:hAnsi="Times New Roman" w:cs="Times New Roman"/>
                <w:kern w:val="0"/>
                <w:sz w:val="24"/>
                <w:szCs w:val="24"/>
              </w:rPr>
              <w:t>万元</w:t>
            </w:r>
          </w:p>
        </w:tc>
        <w:tc>
          <w:tcPr>
            <w:tcW w:w="471"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已到位</w:t>
            </w:r>
          </w:p>
        </w:tc>
      </w:tr>
      <w:tr>
        <w:trPr>
          <w:trHeight w:val="680"/>
          <w:jc w:val="center"/>
        </w:trPr>
        <w:tc>
          <w:tcPr>
            <w:tcW w:w="18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防爆排爆轻量化机器人关节模块</w:t>
            </w:r>
          </w:p>
        </w:tc>
        <w:tc>
          <w:tcPr>
            <w:tcW w:w="1170"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天津市新正防爆电器有限公司</w:t>
            </w:r>
          </w:p>
        </w:tc>
        <w:tc>
          <w:tcPr>
            <w:tcW w:w="855"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天津大学</w:t>
            </w:r>
          </w:p>
        </w:tc>
        <w:tc>
          <w:tcPr>
            <w:tcW w:w="624"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9.9</w:t>
            </w:r>
            <w:r>
              <w:rPr>
                <w:rFonts w:ascii="Times New Roman" w:eastAsia="仿宋_GB2312" w:hAnsi="Times New Roman" w:cs="Times New Roman"/>
                <w:kern w:val="0"/>
                <w:sz w:val="24"/>
                <w:szCs w:val="24"/>
              </w:rPr>
              <w:t>万元</w:t>
            </w:r>
          </w:p>
        </w:tc>
        <w:tc>
          <w:tcPr>
            <w:tcW w:w="471" w:type="pct"/>
            <w:shd w:val="clear" w:color="auto" w:fill="auto"/>
            <w:tcMar>
              <w:top w:w="10" w:type="dxa"/>
              <w:left w:w="10" w:type="dxa"/>
              <w:right w:w="10" w:type="dxa"/>
            </w:tcMar>
            <w:vAlign w:val="center"/>
          </w:tcPr>
          <w:p>
            <w:pPr>
              <w:widowControl/>
              <w:jc w:val="center"/>
              <w:textAlignment w:val="bottom"/>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已到位</w:t>
            </w:r>
          </w:p>
        </w:tc>
      </w:tr>
    </w:tbl>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项目资金使用情况分析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根据西青区科技局提供的相关申报及审核资料，西青区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年科技攻关和科技成果转化及产业化项目应发放项目资金</w:t>
      </w:r>
      <w:r>
        <w:rPr>
          <w:rFonts w:ascii="Times New Roman" w:eastAsia="仿宋_GB2312" w:hAnsi="Times New Roman" w:cs="Times New Roman"/>
          <w:sz w:val="32"/>
          <w:szCs w:val="32"/>
        </w:rPr>
        <w:t>222.90</w:t>
      </w:r>
      <w:r>
        <w:rPr>
          <w:rFonts w:ascii="Times New Roman" w:eastAsia="仿宋_GB2312" w:hAnsi="Times New Roman" w:cs="Times New Roman"/>
          <w:sz w:val="32"/>
          <w:szCs w:val="32"/>
        </w:rPr>
        <w:t>万元，已经支付金额</w:t>
      </w:r>
      <w:r>
        <w:rPr>
          <w:rFonts w:ascii="Times New Roman" w:eastAsia="仿宋_GB2312" w:hAnsi="Times New Roman" w:cs="Times New Roman"/>
          <w:sz w:val="32"/>
          <w:szCs w:val="32"/>
        </w:rPr>
        <w:t>222.90</w:t>
      </w:r>
      <w:r>
        <w:rPr>
          <w:rFonts w:ascii="Times New Roman" w:eastAsia="仿宋_GB2312" w:hAnsi="Times New Roman" w:cs="Times New Roman"/>
          <w:sz w:val="32"/>
          <w:szCs w:val="32"/>
        </w:rPr>
        <w:t>万元。</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经账务审查，我们没有发现资金使用不合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的情况，项目资金拨付及时，相关财政资金全部用于本项目，经费未出现违法违规使用问题，做到了专款专用。</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项目资金管理情况分析</w:t>
      </w:r>
    </w:p>
    <w:p>
      <w:pPr>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年科技攻关和科技成果转化及产业化项目是西青区科技局</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年度预算执行项目，其财务收支制度统一遵循《天津市西青区项目资金管理办法》的相关规定。西青区科技局财务管理上对</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年全部科技项目政策扶持资金设置统一科目进行管理，全部扶持资金支出均由</w:t>
      </w:r>
      <w:r>
        <w:rPr>
          <w:rFonts w:ascii="Times New Roman" w:eastAsia="仿宋_GB2312" w:hAnsi="Times New Roman" w:cs="Times New Roman" w:hint="eastAsia"/>
          <w:sz w:val="32"/>
          <w:szCs w:val="32"/>
        </w:rPr>
        <w:t>西青</w:t>
      </w:r>
      <w:r>
        <w:rPr>
          <w:rFonts w:ascii="Times New Roman" w:eastAsia="仿宋_GB2312" w:hAnsi="Times New Roman" w:cs="Times New Roman"/>
          <w:sz w:val="32"/>
          <w:szCs w:val="32"/>
        </w:rPr>
        <w:t>区财政局直接支付后，西青区科技局同步进行会计记录。其财务管理制度较为健全，财务监控有效。</w:t>
      </w:r>
    </w:p>
    <w:p>
      <w:pPr>
        <w:pStyle w:val="af"/>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（二）项目实施情况分析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项目组织情况分析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日下发了《天津市西青区科学技术委员会关于印发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对我市科技型中小企业与高校、科研院所共同开展的科技攻关和科技成果转化及产业化项目予以支持的实施细则</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的通知》（西青科发〔</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号）文件，将项目实施细则下发至西青区各相关部门。</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项目管理情况分析</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29</w:t>
      </w:r>
      <w:r>
        <w:rPr>
          <w:rFonts w:ascii="Times New Roman" w:eastAsia="仿宋_GB2312" w:hAnsi="Times New Roman" w:cs="Times New Roman"/>
          <w:sz w:val="32"/>
          <w:szCs w:val="32"/>
        </w:rPr>
        <w:t>日下发了《</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年度西青区关于受理支持高端制造创新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条中科技项目的通知》，开始受理科技攻关和科技成果转化及产业化项目申请，主要由下属单位西青区生产力促进中心负责。</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截止</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日，受理科技攻关和科技成果转化及产业化项目申请</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项，根据相关实施细则，西青区生产力促进中心对企业申请资料进行初审，并将初审结果上报至西青区科技局党组会及局长办公会审核。项目申报情况及初审情况如下：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39"/>
        <w:gridCol w:w="2267"/>
        <w:gridCol w:w="1825"/>
        <w:gridCol w:w="877"/>
      </w:tblGrid>
      <w:tr>
        <w:trPr>
          <w:trHeight w:val="624"/>
          <w:tblHeader/>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项目名称</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申报单位</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项目合作单位</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是否通过初审</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应用新型智能化</w:t>
            </w:r>
            <w:r>
              <w:rPr>
                <w:rFonts w:ascii="Times New Roman" w:eastAsia="仿宋_GB2312" w:hAnsi="Times New Roman" w:cs="Times New Roman"/>
                <w:kern w:val="0"/>
                <w:sz w:val="24"/>
                <w:szCs w:val="24"/>
              </w:rPr>
              <w:t>VOCs</w:t>
            </w:r>
            <w:r>
              <w:rPr>
                <w:rFonts w:ascii="Times New Roman" w:eastAsia="仿宋_GB2312" w:hAnsi="Times New Roman" w:cs="Times New Roman"/>
                <w:kern w:val="0"/>
                <w:sz w:val="24"/>
                <w:szCs w:val="24"/>
              </w:rPr>
              <w:t>废气治理技术研发与引用</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天津天迈节能设备有限公司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河北工业大学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绿道成</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智能交通车速诱导技术及系统</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爱易成技术（天津）有限公司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经典名方</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清肺</w:t>
            </w:r>
            <w:proofErr w:type="gramStart"/>
            <w:r>
              <w:rPr>
                <w:rFonts w:ascii="Times New Roman" w:eastAsia="仿宋_GB2312" w:hAnsi="Times New Roman" w:cs="Times New Roman"/>
                <w:kern w:val="0"/>
                <w:sz w:val="24"/>
                <w:szCs w:val="24"/>
              </w:rPr>
              <w:t>汤标准</w:t>
            </w:r>
            <w:proofErr w:type="gramEnd"/>
            <w:r>
              <w:rPr>
                <w:rFonts w:ascii="Times New Roman" w:eastAsia="仿宋_GB2312" w:hAnsi="Times New Roman" w:cs="Times New Roman"/>
                <w:kern w:val="0"/>
                <w:sz w:val="24"/>
                <w:szCs w:val="24"/>
              </w:rPr>
              <w:t>颗粒研究</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天津同仁堂集团股份有限公司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天津中医药大学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基于互联网</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肉类食品产运销与安全保障体系京津冀一体化产业化工程</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天津二商迎宾肉类食品有限公司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天津科技大学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紧固件生产管理的智能化改造提升</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天津市浩越全五金制品股份有限公司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天津工业大学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防爆排爆轻量化机器人关节模块</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天津市新正防爆电器有限公司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是</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基于三维表面金属化技术的天线系统及设备研发</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讯创（天津）电子有限公司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天津理工大学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否</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沙窝萝卜产后流通和贮藏保鲜关键技术研发及产业化应用</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天津市曙光沙窝萝卜专业合作社</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天津市林业果树</w:t>
            </w:r>
            <w:r>
              <w:rPr>
                <w:rFonts w:ascii="Times New Roman" w:eastAsia="仿宋_GB2312" w:hAnsi="Times New Roman" w:cs="Times New Roman"/>
                <w:kern w:val="0"/>
                <w:sz w:val="24"/>
                <w:szCs w:val="24"/>
              </w:rPr>
              <w:br/>
            </w:r>
            <w:r>
              <w:rPr>
                <w:rFonts w:ascii="Times New Roman" w:eastAsia="仿宋_GB2312" w:hAnsi="Times New Roman" w:cs="Times New Roman"/>
                <w:kern w:val="0"/>
                <w:sz w:val="24"/>
                <w:szCs w:val="24"/>
              </w:rPr>
              <w:t>研究所</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否</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智慧课堂互动系统</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天津好时达科技股份有限公司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天津科技大学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否</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全降解缓冲包装膜</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天津金盛昱塑料制品科技股份有限公司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天津科技大学</w:t>
            </w:r>
            <w:r>
              <w:rPr>
                <w:rFonts w:ascii="Times New Roman" w:eastAsia="仿宋_GB2312" w:hAnsi="Times New Roman" w:cs="Times New Roman"/>
                <w:kern w:val="0"/>
                <w:sz w:val="24"/>
                <w:szCs w:val="24"/>
              </w:rPr>
              <w:br/>
            </w:r>
            <w:r>
              <w:rPr>
                <w:rFonts w:ascii="Times New Roman" w:eastAsia="仿宋_GB2312" w:hAnsi="Times New Roman" w:cs="Times New Roman"/>
                <w:kern w:val="0"/>
                <w:sz w:val="24"/>
                <w:szCs w:val="24"/>
              </w:rPr>
              <w:t>化工与材料学院</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否</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传统麻花营养功能化深加工关键技术研发</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天津市瀛前祥科技发展有限公司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天津科技大学</w:t>
            </w:r>
            <w:r>
              <w:rPr>
                <w:rFonts w:ascii="Times New Roman" w:eastAsia="仿宋_GB2312" w:hAnsi="Times New Roman" w:cs="Times New Roman"/>
                <w:kern w:val="0"/>
                <w:sz w:val="24"/>
                <w:szCs w:val="24"/>
              </w:rPr>
              <w:br/>
            </w:r>
            <w:r>
              <w:rPr>
                <w:rFonts w:ascii="Times New Roman" w:eastAsia="仿宋_GB2312" w:hAnsi="Times New Roman" w:cs="Times New Roman"/>
                <w:kern w:val="0"/>
                <w:sz w:val="24"/>
                <w:szCs w:val="24"/>
              </w:rPr>
              <w:t>食品工程与生物技术学院</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否</w:t>
            </w:r>
          </w:p>
        </w:tc>
      </w:tr>
      <w:tr>
        <w:trPr>
          <w:trHeight w:val="680"/>
          <w:jc w:val="center"/>
        </w:trPr>
        <w:tc>
          <w:tcPr>
            <w:tcW w:w="2179"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智能工厂智能管控平台产业化</w:t>
            </w:r>
          </w:p>
        </w:tc>
        <w:tc>
          <w:tcPr>
            <w:tcW w:w="1287"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天津斯沃姆科技发展有限公司</w:t>
            </w:r>
          </w:p>
        </w:tc>
        <w:tc>
          <w:tcPr>
            <w:tcW w:w="1036"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沈阳大学</w:t>
            </w:r>
          </w:p>
        </w:tc>
        <w:tc>
          <w:tcPr>
            <w:tcW w:w="498" w:type="pct"/>
            <w:shd w:val="clear" w:color="auto" w:fill="auto"/>
            <w:tcMar>
              <w:top w:w="10" w:type="dxa"/>
              <w:left w:w="10" w:type="dxa"/>
              <w:right w:w="10" w:type="dxa"/>
            </w:tcMar>
            <w:vAlign w:val="center"/>
          </w:tcPr>
          <w:p>
            <w:pPr>
              <w:widowControl/>
              <w:jc w:val="center"/>
              <w:textAlignment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否</w:t>
            </w:r>
          </w:p>
        </w:tc>
      </w:tr>
    </w:tbl>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根据相关实施细则，</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日期间，西青区生产力促进中心对通过初审的</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家申报单位进行了现场考察，并将考察结果上报至西青区科技局党组会及局长办公会审核；</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日期间，西青区科技局委托天津市科技创业服务中心聘请专家对通过初审的</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家申报单位申报的项目进行了评审；</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28</w:t>
      </w:r>
      <w:r>
        <w:rPr>
          <w:rFonts w:ascii="Times New Roman" w:eastAsia="仿宋_GB2312" w:hAnsi="Times New Roman" w:cs="Times New Roman"/>
          <w:bCs/>
          <w:sz w:val="32"/>
          <w:szCs w:val="32"/>
        </w:rPr>
        <w:t>日至</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日期间，</w:t>
      </w:r>
      <w:r>
        <w:rPr>
          <w:rFonts w:ascii="Times New Roman" w:eastAsia="仿宋_GB2312" w:hAnsi="Times New Roman" w:cs="Times New Roman"/>
          <w:sz w:val="32"/>
          <w:szCs w:val="32"/>
        </w:rPr>
        <w:t>西青区科技局对拟扶持的科技攻关和科技成果转化及产业化项目进行公示</w:t>
      </w:r>
      <w:r>
        <w:rPr>
          <w:rFonts w:ascii="Times New Roman" w:eastAsia="仿宋_GB2312" w:hAnsi="Times New Roman" w:cs="Times New Roman" w:hint="eastAsia"/>
          <w:sz w:val="32"/>
          <w:szCs w:val="32"/>
        </w:rPr>
        <w:t>。</w:t>
      </w:r>
    </w:p>
    <w:p>
      <w:pPr>
        <w:pStyle w:val="af"/>
        <w:ind w:left="640" w:firstLineChars="0" w:firstLine="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（三）项目绩效情况分析</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项目效率性分析</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西青区科技局依据《对我市科技型中小企业与高校、科研院所共同开展的科技攻关和科技成果转化及产业化项目予以支持的实施细则》完成了对科技攻关和科技成果转化及产业化项目申报资料的审核，并在计划时间内将专项资金下发</w:t>
      </w:r>
      <w:proofErr w:type="gramStart"/>
      <w:r>
        <w:rPr>
          <w:rFonts w:ascii="Times New Roman" w:eastAsia="仿宋_GB2312" w:hAnsi="Times New Roman" w:cs="Times New Roman"/>
          <w:sz w:val="32"/>
          <w:szCs w:val="32"/>
        </w:rPr>
        <w:t>至各项</w:t>
      </w:r>
      <w:proofErr w:type="gramEnd"/>
      <w:r>
        <w:rPr>
          <w:rFonts w:ascii="Times New Roman" w:eastAsia="仿宋_GB2312" w:hAnsi="Times New Roman" w:cs="Times New Roman"/>
          <w:sz w:val="32"/>
          <w:szCs w:val="32"/>
        </w:rPr>
        <w:t>目单位。</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项目效益性分析</w:t>
      </w:r>
    </w:p>
    <w:p>
      <w:pPr>
        <w:pStyle w:val="af"/>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西青区</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年科技攻关和科技成果转化及产业化项目执行期为</w:t>
      </w:r>
      <w:r>
        <w:rPr>
          <w:rFonts w:ascii="Times New Roman" w:eastAsia="仿宋_GB2312" w:hAnsi="Times New Roman" w:cs="Times New Roman"/>
          <w:bCs/>
          <w:sz w:val="32"/>
          <w:szCs w:val="32"/>
        </w:rPr>
        <w:t>2019</w:t>
      </w:r>
      <w:r>
        <w:rPr>
          <w:rFonts w:ascii="Times New Roman" w:eastAsia="仿宋_GB2312" w:hAnsi="Times New Roman" w:cs="Times New Roman"/>
          <w:bCs/>
          <w:sz w:val="32"/>
          <w:szCs w:val="32"/>
        </w:rPr>
        <w:t>年至</w:t>
      </w:r>
      <w:r>
        <w:rPr>
          <w:rFonts w:ascii="Times New Roman" w:eastAsia="仿宋_GB2312" w:hAnsi="Times New Roman" w:cs="Times New Roman"/>
          <w:bCs/>
          <w:sz w:val="32"/>
          <w:szCs w:val="32"/>
        </w:rPr>
        <w:t>2021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月。截止</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w:t>
      </w:r>
      <w:r>
        <w:rPr>
          <w:rFonts w:ascii="Times New Roman" w:eastAsia="仿宋_GB2312" w:hAnsi="Times New Roman" w:cs="Times New Roman"/>
          <w:sz w:val="32"/>
          <w:szCs w:val="32"/>
        </w:rPr>
        <w:t>西青区生产力促进中心完成了对上述</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个项目中</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个项目的中期考核。其中：</w:t>
      </w:r>
    </w:p>
    <w:p>
      <w:pPr>
        <w:pStyle w:val="af"/>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天津天迈节能设备有限公司与河北工业大学合作的应用新型智能化</w:t>
      </w:r>
      <w:r>
        <w:rPr>
          <w:rFonts w:ascii="Times New Roman" w:eastAsia="仿宋_GB2312" w:hAnsi="Times New Roman" w:cs="Times New Roman"/>
          <w:sz w:val="32"/>
          <w:szCs w:val="32"/>
        </w:rPr>
        <w:t>VOCs</w:t>
      </w:r>
      <w:r>
        <w:rPr>
          <w:rFonts w:ascii="Times New Roman" w:eastAsia="仿宋_GB2312" w:hAnsi="Times New Roman" w:cs="Times New Roman"/>
          <w:sz w:val="32"/>
          <w:szCs w:val="32"/>
        </w:rPr>
        <w:t>废气治理技术研发与引用项目，截至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1180</w:t>
      </w:r>
      <w:r>
        <w:rPr>
          <w:rFonts w:ascii="Times New Roman" w:eastAsia="仿宋_GB2312" w:hAnsi="Times New Roman" w:cs="Times New Roman"/>
          <w:sz w:val="32"/>
          <w:szCs w:val="32"/>
        </w:rPr>
        <w:t>万元，并在项目实施过程中申报发明专利</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项、实用新型专利</w:t>
      </w:r>
      <w:r>
        <w:rPr>
          <w:rFonts w:ascii="Times New Roman" w:eastAsia="仿宋_GB2312" w:hAnsi="Times New Roman" w:cs="Times New Roman"/>
          <w:sz w:val="32"/>
          <w:szCs w:val="32"/>
        </w:rPr>
        <w:t>7</w:t>
      </w:r>
      <w:r>
        <w:rPr>
          <w:rFonts w:ascii="Times New Roman" w:eastAsia="仿宋_GB2312" w:hAnsi="Times New Roman" w:cs="Times New Roman"/>
          <w:sz w:val="32"/>
          <w:szCs w:val="32"/>
        </w:rPr>
        <w:t>项；为西青区增加就业岗位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w:t>
      </w:r>
    </w:p>
    <w:p>
      <w:pPr>
        <w:pStyle w:val="af"/>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爱易成技术（天津）有限公司与天津大学合作的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绿道成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智能交通车速诱导技术及系统项目，截至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1078.81</w:t>
      </w:r>
      <w:r>
        <w:rPr>
          <w:rFonts w:ascii="Times New Roman" w:eastAsia="仿宋_GB2312" w:hAnsi="Times New Roman" w:cs="Times New Roman"/>
          <w:sz w:val="32"/>
          <w:szCs w:val="32"/>
        </w:rPr>
        <w:t>万元。</w:t>
      </w:r>
    </w:p>
    <w:p>
      <w:pPr>
        <w:pStyle w:val="af"/>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天津同仁堂集团股份有限公司与天津中医药大学合作的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经典名方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清肺汤标准颗粒研究</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184.71</w:t>
      </w:r>
      <w:r>
        <w:rPr>
          <w:rFonts w:ascii="Times New Roman" w:eastAsia="仿宋_GB2312" w:hAnsi="Times New Roman" w:cs="Times New Roman"/>
          <w:sz w:val="32"/>
          <w:szCs w:val="32"/>
        </w:rPr>
        <w:t>万元，并在项目实施过程中发表论文一篇。</w:t>
      </w:r>
    </w:p>
    <w:p>
      <w:pPr>
        <w:pStyle w:val="af"/>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天津二商迎宾肉类食品有限公司与天津科技大学合作的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基于互联网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肉类食品产运销与安全保障体系京津冀一体化产业化工程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313.20</w:t>
      </w:r>
      <w:r>
        <w:rPr>
          <w:rFonts w:ascii="Times New Roman" w:eastAsia="仿宋_GB2312" w:hAnsi="Times New Roman" w:cs="Times New Roman"/>
          <w:sz w:val="32"/>
          <w:szCs w:val="32"/>
        </w:rPr>
        <w:t>万元，并在项目实施过程中申报实用新型专利</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项；为西青区培养技术人才</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名，增加就业岗位</w:t>
      </w:r>
      <w:r>
        <w:rPr>
          <w:rFonts w:ascii="Times New Roman" w:eastAsia="仿宋_GB2312" w:hAnsi="Times New Roman" w:cs="Times New Roman"/>
          <w:sz w:val="32"/>
          <w:szCs w:val="32"/>
        </w:rPr>
        <w:t>89</w:t>
      </w:r>
      <w:r>
        <w:rPr>
          <w:rFonts w:ascii="Times New Roman" w:eastAsia="仿宋_GB2312" w:hAnsi="Times New Roman" w:cs="Times New Roman"/>
          <w:sz w:val="32"/>
          <w:szCs w:val="32"/>
        </w:rPr>
        <w:t>个。</w:t>
      </w:r>
    </w:p>
    <w:p>
      <w:pPr>
        <w:pStyle w:val="af"/>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天津市浩越全五金制品股份有限公司与天津工业大学合作的紧固件生产管理的智能化改造提升项目，截至</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月已按项目计划进度进行相关产品的研发工作，项目投入</w:t>
      </w:r>
      <w:r>
        <w:rPr>
          <w:rFonts w:ascii="Times New Roman" w:eastAsia="仿宋_GB2312" w:hAnsi="Times New Roman" w:cs="Times New Roman"/>
          <w:sz w:val="32"/>
          <w:szCs w:val="32"/>
        </w:rPr>
        <w:t>147.57</w:t>
      </w:r>
      <w:r>
        <w:rPr>
          <w:rFonts w:ascii="Times New Roman" w:eastAsia="仿宋_GB2312" w:hAnsi="Times New Roman" w:cs="Times New Roman"/>
          <w:sz w:val="32"/>
          <w:szCs w:val="32"/>
        </w:rPr>
        <w:t>万元，并在项目实施过程中申报实用新型专利</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项；为西青区培养技术人才</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名，增加就业岗位</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w:t>
      </w:r>
    </w:p>
    <w:p>
      <w:pPr>
        <w:pStyle w:val="af"/>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四、综合评价情况及评价结论</w:t>
      </w:r>
    </w:p>
    <w:p>
      <w:pPr>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根据《西青区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年科技攻关和科技成果转化及产业化项目绩效评价指标评分表》的最终总得分，可以用来综合判断本项目的绩效情况，即：评价得分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良好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较好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，评价得分＜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。本项目综合总得分</w:t>
      </w:r>
      <w:r>
        <w:rPr>
          <w:rFonts w:ascii="Times New Roman" w:eastAsia="仿宋_GB2312" w:hAnsi="Times New Roman" w:cs="Times New Roman"/>
          <w:sz w:val="32"/>
          <w:szCs w:val="32"/>
        </w:rPr>
        <w:t>93.5</w:t>
      </w:r>
      <w:r>
        <w:rPr>
          <w:rFonts w:ascii="Times New Roman" w:eastAsia="仿宋_GB2312" w:hAnsi="Times New Roman" w:cs="Times New Roman"/>
          <w:sz w:val="32"/>
          <w:szCs w:val="32"/>
        </w:rPr>
        <w:t>分，评价结论为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pPr>
        <w:pStyle w:val="af"/>
        <w:numPr>
          <w:ilvl w:val="0"/>
          <w:numId w:val="3"/>
        </w:numPr>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西青区科技局遵照上级指示，并结合西青区科技企业实际发展情况，制定了《</w:t>
      </w:r>
      <w:r>
        <w:rPr>
          <w:rFonts w:ascii="Times New Roman" w:eastAsia="仿宋_GB2312" w:hAnsi="Times New Roman" w:cs="Times New Roman"/>
          <w:sz w:val="32"/>
          <w:szCs w:val="32"/>
        </w:rPr>
        <w:t>对我市科技型中小企业与高校、科研院所共同开展的科技攻关和科技成果转化及产业化项目予以支持的实施细则</w:t>
      </w:r>
      <w:r>
        <w:rPr>
          <w:rFonts w:ascii="Times New Roman" w:eastAsia="仿宋_GB2312" w:hAnsi="Times New Roman" w:cs="Times New Roman"/>
          <w:bCs/>
          <w:sz w:val="32"/>
          <w:szCs w:val="32"/>
        </w:rPr>
        <w:t>》，并以该实施细则为基础，对西青区</w:t>
      </w:r>
      <w:r>
        <w:rPr>
          <w:rFonts w:ascii="Times New Roman" w:eastAsia="仿宋_GB2312" w:hAnsi="Times New Roman" w:cs="Times New Roman"/>
          <w:sz w:val="32"/>
          <w:szCs w:val="32"/>
        </w:rPr>
        <w:t>科技攻关和科技成果转化及产业化项目</w:t>
      </w:r>
      <w:r>
        <w:rPr>
          <w:rFonts w:ascii="Times New Roman" w:eastAsia="仿宋_GB2312" w:hAnsi="Times New Roman" w:cs="Times New Roman"/>
          <w:bCs/>
          <w:sz w:val="32"/>
          <w:szCs w:val="32"/>
        </w:rPr>
        <w:t>给予资助。</w:t>
      </w:r>
    </w:p>
    <w:p>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本项目立项程序合</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，符合</w:t>
      </w:r>
      <w:r>
        <w:rPr>
          <w:rFonts w:ascii="Times New Roman" w:eastAsia="仿宋_GB2312" w:hAnsi="Times New Roman" w:cs="Times New Roman"/>
          <w:bCs/>
          <w:sz w:val="32"/>
          <w:szCs w:val="32"/>
        </w:rPr>
        <w:t>西青区</w:t>
      </w:r>
      <w:r>
        <w:rPr>
          <w:rFonts w:ascii="Times New Roman" w:eastAsia="仿宋_GB2312" w:hAnsi="Times New Roman" w:cs="Times New Roman"/>
          <w:sz w:val="32"/>
          <w:szCs w:val="32"/>
        </w:rPr>
        <w:t>发展规划，体现了</w:t>
      </w:r>
      <w:r>
        <w:rPr>
          <w:rFonts w:ascii="Times New Roman" w:eastAsia="仿宋_GB2312" w:hAnsi="Times New Roman" w:cs="Times New Roman"/>
          <w:bCs/>
          <w:sz w:val="32"/>
          <w:szCs w:val="32"/>
        </w:rPr>
        <w:t>西青区鼓励高端制造创新发展的要求</w:t>
      </w:r>
      <w:r>
        <w:rPr>
          <w:rFonts w:ascii="Times New Roman" w:eastAsia="仿宋_GB2312" w:hAnsi="Times New Roman" w:cs="Times New Roman"/>
          <w:sz w:val="32"/>
          <w:szCs w:val="32"/>
        </w:rPr>
        <w:t>，有利于将科研成果用于实处，开展基于互联网的开放式研发设计、网络化制造等新方法的运用，引领发展新模式。</w:t>
      </w:r>
    </w:p>
    <w:p>
      <w:pPr>
        <w:pStyle w:val="af"/>
        <w:numPr>
          <w:ilvl w:val="0"/>
          <w:numId w:val="3"/>
        </w:numPr>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西青区科技局将《</w:t>
      </w:r>
      <w:r>
        <w:rPr>
          <w:rFonts w:ascii="Times New Roman" w:eastAsia="仿宋_GB2312" w:hAnsi="Times New Roman" w:cs="Times New Roman"/>
          <w:sz w:val="32"/>
          <w:szCs w:val="32"/>
        </w:rPr>
        <w:t>对我市科技型中小企业与高校、科研院所共同开展的科技攻关和科技成果转化及产业化项目予以支持的实施细则</w:t>
      </w:r>
      <w:r>
        <w:rPr>
          <w:rFonts w:ascii="Times New Roman" w:eastAsia="仿宋_GB2312" w:hAnsi="Times New Roman" w:cs="Times New Roman"/>
          <w:bCs/>
          <w:sz w:val="32"/>
          <w:szCs w:val="32"/>
        </w:rPr>
        <w:t>》下发至西青区各相关部门后，按照实施细则要求，安排西青区生产力促进中心开展</w:t>
      </w:r>
      <w:r>
        <w:rPr>
          <w:rFonts w:ascii="Times New Roman" w:eastAsia="仿宋_GB2312" w:hAnsi="Times New Roman" w:cs="Times New Roman"/>
          <w:sz w:val="32"/>
          <w:szCs w:val="32"/>
        </w:rPr>
        <w:t>西青区科技攻关和科技成果转化及产业化项目的申请受理工作。</w:t>
      </w:r>
    </w:p>
    <w:p>
      <w:pPr>
        <w:pStyle w:val="af"/>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西青区科技局依据上级领导要求，并结合西青区实际情况，建立了健全的项目评审制度，并安排</w:t>
      </w:r>
      <w:r>
        <w:rPr>
          <w:rFonts w:ascii="Times New Roman" w:eastAsia="仿宋_GB2312" w:hAnsi="Times New Roman" w:cs="Times New Roman"/>
          <w:bCs/>
          <w:sz w:val="32"/>
          <w:szCs w:val="32"/>
        </w:rPr>
        <w:t>西青区</w:t>
      </w:r>
      <w:r>
        <w:rPr>
          <w:rFonts w:ascii="Times New Roman" w:eastAsia="仿宋_GB2312" w:hAnsi="Times New Roman" w:cs="Times New Roman"/>
          <w:sz w:val="32"/>
          <w:szCs w:val="32"/>
        </w:rPr>
        <w:t>生产力促进中心负责，有利于本项目进一步开展工作，为各项</w:t>
      </w:r>
      <w:proofErr w:type="gramStart"/>
      <w:r>
        <w:rPr>
          <w:rFonts w:ascii="Times New Roman" w:eastAsia="仿宋_GB2312" w:hAnsi="Times New Roman" w:cs="Times New Roman"/>
          <w:sz w:val="32"/>
          <w:szCs w:val="32"/>
        </w:rPr>
        <w:t>目单位</w:t>
      </w:r>
      <w:proofErr w:type="gramEnd"/>
      <w:r>
        <w:rPr>
          <w:rFonts w:ascii="Times New Roman" w:eastAsia="仿宋_GB2312" w:hAnsi="Times New Roman" w:cs="Times New Roman"/>
          <w:sz w:val="32"/>
          <w:szCs w:val="32"/>
        </w:rPr>
        <w:t>提供了政策咨询解答服务并开辟专门申报窗口。</w:t>
      </w:r>
    </w:p>
    <w:p>
      <w:pPr>
        <w:pStyle w:val="af"/>
        <w:numPr>
          <w:ilvl w:val="0"/>
          <w:numId w:val="3"/>
        </w:numPr>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西青区生产力促进中心严格按照实施细则要求，对各项</w:t>
      </w:r>
      <w:proofErr w:type="gramStart"/>
      <w:r>
        <w:rPr>
          <w:rFonts w:ascii="Times New Roman" w:eastAsia="仿宋_GB2312" w:hAnsi="Times New Roman" w:cs="Times New Roman"/>
          <w:bCs/>
          <w:sz w:val="32"/>
          <w:szCs w:val="32"/>
        </w:rPr>
        <w:t>目单位</w:t>
      </w:r>
      <w:proofErr w:type="gramEnd"/>
      <w:r>
        <w:rPr>
          <w:rFonts w:ascii="Times New Roman" w:eastAsia="仿宋_GB2312" w:hAnsi="Times New Roman" w:cs="Times New Roman"/>
          <w:bCs/>
          <w:sz w:val="32"/>
          <w:szCs w:val="32"/>
        </w:rPr>
        <w:t>申报资料进行审核，对项目申报单位进行现场考察，综合评价了各项目申报单位的研发能力、组织能力及生产能力，随后聘请专家组对上述</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家项目单位的申请进行了评审，最终确认了各单位补助金额。</w:t>
      </w:r>
    </w:p>
    <w:p>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西青区科技局严格执行了项目资金评审制度，按照实施细则对各项</w:t>
      </w:r>
      <w:proofErr w:type="gramStart"/>
      <w:r>
        <w:rPr>
          <w:rFonts w:ascii="Times New Roman" w:eastAsia="仿宋_GB2312" w:hAnsi="Times New Roman" w:cs="Times New Roman"/>
          <w:bCs/>
          <w:sz w:val="32"/>
          <w:szCs w:val="32"/>
        </w:rPr>
        <w:t>目单位</w:t>
      </w:r>
      <w:proofErr w:type="gramEnd"/>
      <w:r>
        <w:rPr>
          <w:rFonts w:ascii="Times New Roman" w:eastAsia="仿宋_GB2312" w:hAnsi="Times New Roman" w:cs="Times New Roman"/>
          <w:bCs/>
          <w:sz w:val="32"/>
          <w:szCs w:val="32"/>
        </w:rPr>
        <w:t>申报资料进行审核，并最终确认各单位的补助金额，体现了项目申报的公平性、公开性、公正性。</w:t>
      </w:r>
    </w:p>
    <w:p>
      <w:pPr>
        <w:pStyle w:val="af"/>
        <w:numPr>
          <w:ilvl w:val="0"/>
          <w:numId w:val="3"/>
        </w:numPr>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本项目对取得科技专项资金的项目单位，在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西青之窗</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的政务公开栏内进行公示，接受群众监督，并按时将专项资金由西青区财政局直接发放</w:t>
      </w:r>
      <w:proofErr w:type="gramStart"/>
      <w:r>
        <w:rPr>
          <w:rFonts w:ascii="Times New Roman" w:eastAsia="仿宋_GB2312" w:hAnsi="Times New Roman" w:cs="Times New Roman"/>
          <w:bCs/>
          <w:sz w:val="32"/>
          <w:szCs w:val="32"/>
        </w:rPr>
        <w:t>至各项</w:t>
      </w:r>
      <w:proofErr w:type="gramEnd"/>
      <w:r>
        <w:rPr>
          <w:rFonts w:ascii="Times New Roman" w:eastAsia="仿宋_GB2312" w:hAnsi="Times New Roman" w:cs="Times New Roman"/>
          <w:bCs/>
          <w:sz w:val="32"/>
          <w:szCs w:val="32"/>
        </w:rPr>
        <w:t>目单位。</w:t>
      </w:r>
    </w:p>
    <w:p>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西青区科技局专项资金收支全部统一建账管理，付款流程符合相关财务管理制度；全部项目款项均由财政直接支付，符合相关规定。</w:t>
      </w:r>
    </w:p>
    <w:p>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通过该项目实施，一是支持了科技创新单位发展；二是促进扶持单位研发经费快速增长，科技成果不断涌现，被扶持单位截至</w:t>
      </w:r>
      <w:r>
        <w:rPr>
          <w:rFonts w:ascii="Times New Roman" w:eastAsia="仿宋_GB2312" w:hAnsi="Times New Roman" w:cs="Times New Roman"/>
          <w:bCs/>
          <w:sz w:val="32"/>
          <w:szCs w:val="32"/>
        </w:rPr>
        <w:t>2020</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月申请各项专利共</w:t>
      </w:r>
      <w:r>
        <w:rPr>
          <w:rFonts w:ascii="Times New Roman" w:eastAsia="仿宋_GB2312" w:hAnsi="Times New Roman" w:cs="Times New Roman"/>
          <w:bCs/>
          <w:sz w:val="32"/>
          <w:szCs w:val="32"/>
        </w:rPr>
        <w:t>18</w:t>
      </w:r>
      <w:r>
        <w:rPr>
          <w:rFonts w:ascii="Times New Roman" w:eastAsia="仿宋_GB2312" w:hAnsi="Times New Roman" w:cs="Times New Roman"/>
          <w:bCs/>
          <w:sz w:val="32"/>
          <w:szCs w:val="32"/>
        </w:rPr>
        <w:t>项，发表专业论文</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篇；三是促进就业，被扶持单位在项目执行期间新增工作岗位</w:t>
      </w:r>
      <w:r>
        <w:rPr>
          <w:rFonts w:ascii="Times New Roman" w:eastAsia="仿宋_GB2312" w:hAnsi="Times New Roman" w:cs="Times New Roman"/>
          <w:bCs/>
          <w:sz w:val="32"/>
          <w:szCs w:val="32"/>
        </w:rPr>
        <w:t>120</w:t>
      </w:r>
      <w:r>
        <w:rPr>
          <w:rFonts w:ascii="Times New Roman" w:eastAsia="仿宋_GB2312" w:hAnsi="Times New Roman" w:cs="Times New Roman"/>
          <w:bCs/>
          <w:sz w:val="32"/>
          <w:szCs w:val="32"/>
        </w:rPr>
        <w:t>余个，为西青区培养技术人才</w:t>
      </w:r>
      <w:r>
        <w:rPr>
          <w:rFonts w:ascii="Times New Roman" w:eastAsia="仿宋_GB2312" w:hAnsi="Times New Roman" w:cs="Times New Roman"/>
          <w:bCs/>
          <w:sz w:val="32"/>
          <w:szCs w:val="32"/>
        </w:rPr>
        <w:t>19</w:t>
      </w:r>
      <w:r>
        <w:rPr>
          <w:rFonts w:ascii="Times New Roman" w:eastAsia="仿宋_GB2312" w:hAnsi="Times New Roman" w:cs="Times New Roman"/>
          <w:bCs/>
          <w:sz w:val="32"/>
          <w:szCs w:val="32"/>
        </w:rPr>
        <w:t>人；四是一定程度上缓解了企业资金矛盾，引导企业加强技术创新改造；五是进一步培育新</w:t>
      </w:r>
      <w:proofErr w:type="gramStart"/>
      <w:r>
        <w:rPr>
          <w:rFonts w:ascii="Times New Roman" w:eastAsia="仿宋_GB2312" w:hAnsi="Times New Roman" w:cs="Times New Roman"/>
          <w:bCs/>
          <w:sz w:val="32"/>
          <w:szCs w:val="32"/>
        </w:rPr>
        <w:t>业态新模式</w:t>
      </w:r>
      <w:proofErr w:type="gramEnd"/>
      <w:r>
        <w:rPr>
          <w:rFonts w:ascii="Times New Roman" w:eastAsia="仿宋_GB2312" w:hAnsi="Times New Roman" w:cs="Times New Roman"/>
          <w:bCs/>
          <w:sz w:val="32"/>
          <w:szCs w:val="32"/>
        </w:rPr>
        <w:t>，鼓励高校和科研院所科技人员与企业合作，合作重点包括研发设计、中医医药等方面的企业，开展基于互联网的开放式研发设计、网络化制造等新方法的运用，引领发展西青发展新模式。</w:t>
      </w:r>
    </w:p>
    <w:p>
      <w:pPr>
        <w:pStyle w:val="af"/>
        <w:numPr>
          <w:ilvl w:val="0"/>
          <w:numId w:val="4"/>
        </w:numPr>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存在的问题和建议</w:t>
      </w:r>
    </w:p>
    <w:p>
      <w:pPr>
        <w:pStyle w:val="af"/>
        <w:numPr>
          <w:ilvl w:val="0"/>
          <w:numId w:val="5"/>
        </w:numPr>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项目后期考察跟踪程序不够完善</w:t>
      </w:r>
    </w:p>
    <w:p>
      <w:pPr>
        <w:pStyle w:val="af"/>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目前本项目按规定开展了中期考察，但对中期考察出现的问题未做进一步的解决。如天津市新正防爆电器有限公司与天津大学合作的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防爆排爆轻量化机器人关节模块项目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未及时报送中期考核资料。</w:t>
      </w:r>
    </w:p>
    <w:p>
      <w:pPr>
        <w:pStyle w:val="af"/>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加强对项目单位的追踪管理，对于未及时报送资料的单位进行进一步督导，督促相关单位及时报送考核材料。对于中期考核不合格的单位，进行现场考察，协助企业解决生产研发中的问题，帮助企业进一步提高生产研发能力。</w:t>
      </w:r>
    </w:p>
    <w:p>
      <w:pPr>
        <w:pStyle w:val="af"/>
        <w:numPr>
          <w:ilvl w:val="0"/>
          <w:numId w:val="6"/>
        </w:numPr>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项目档案管理存在问题</w:t>
      </w:r>
    </w:p>
    <w:p>
      <w:pPr>
        <w:pStyle w:val="af"/>
        <w:spacing w:line="480" w:lineRule="auto"/>
        <w:ind w:left="640" w:firstLineChars="0" w:firstLine="0"/>
        <w:rPr>
          <w:rFonts w:ascii="Times New Roman" w:eastAsia="仿宋_GB2312" w:hAnsi="Times New Roman" w:cs="Times New Roman"/>
          <w:sz w:val="32"/>
          <w:szCs w:val="32"/>
        </w:rPr>
      </w:pPr>
      <w:r>
        <w:rPr>
          <w:rFonts w:ascii="Times New Roman" w:eastAsia="仿宋_GB2312" w:hAnsi="Times New Roman" w:cs="Times New Roman"/>
          <w:sz w:val="32"/>
          <w:szCs w:val="32"/>
        </w:rPr>
        <w:t>本项目档案管理上存在档案错漏的问题。</w:t>
      </w:r>
    </w:p>
    <w:p>
      <w:pPr>
        <w:pStyle w:val="af"/>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建议：强化档案管理的责任意识，不断加强项目档案的管理工作，对于不同项目的资料进行分类、专人管理。</w:t>
      </w:r>
    </w:p>
    <w:p>
      <w:pPr>
        <w:pStyle w:val="af"/>
        <w:numPr>
          <w:ilvl w:val="0"/>
          <w:numId w:val="6"/>
        </w:numPr>
        <w:ind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产学研合作的深度和广度不够</w:t>
      </w:r>
    </w:p>
    <w:p>
      <w:pPr>
        <w:pStyle w:val="af"/>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高校、科研院所与企业的产学研合作多数为针对某一研发项目或课题，达成共识后开展短期（时间通常为</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年）合作，没有真正实现高校、科研院所作为企业技术开发依托，企业作为高校、科研院所教学实验基地，实际上还是就项目合作而合作。</w:t>
      </w:r>
    </w:p>
    <w:p>
      <w:pPr>
        <w:pStyle w:val="af"/>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建议：调动企业科技创新的积极性，鼓励企业加大科技研发投入和人才引进，引导企业与高校、科研院所建立长期紧密合作关系，共建研发机构，联合科技攻关，推动企业产品创新、技术创新。</w:t>
      </w:r>
    </w:p>
    <w:p>
      <w:pPr>
        <w:ind w:firstLineChars="200" w:firstLine="640"/>
        <w:jc w:val="right"/>
        <w:rPr>
          <w:rFonts w:ascii="Times New Roman" w:eastAsia="仿宋_GB2312" w:hAnsi="Times New Roman" w:cs="Times New Roman"/>
          <w:sz w:val="32"/>
          <w:szCs w:val="32"/>
        </w:rPr>
      </w:pPr>
    </w:p>
    <w:p>
      <w:pPr>
        <w:ind w:firstLineChars="200" w:firstLine="640"/>
        <w:jc w:val="right"/>
        <w:rPr>
          <w:rFonts w:ascii="Times New Roman" w:eastAsia="仿宋_GB2312" w:hAnsi="Times New Roman" w:cs="Times New Roman"/>
          <w:sz w:val="32"/>
          <w:szCs w:val="32"/>
        </w:rPr>
      </w:pPr>
    </w:p>
    <w:p>
      <w:pPr>
        <w:ind w:firstLineChars="200" w:firstLine="640"/>
        <w:jc w:val="right"/>
        <w:rPr>
          <w:rFonts w:ascii="Times New Roman" w:eastAsia="仿宋_GB2312" w:hAnsi="Times New Roman" w:cs="Times New Roman"/>
          <w:sz w:val="32"/>
          <w:szCs w:val="32"/>
        </w:rPr>
      </w:pPr>
    </w:p>
    <w:p>
      <w:pPr>
        <w:ind w:firstLineChars="200" w:firstLine="640"/>
        <w:jc w:val="right"/>
        <w:rPr>
          <w:rFonts w:ascii="Times New Roman" w:eastAsia="仿宋_GB2312" w:hAnsi="Times New Roman" w:cs="Times New Roman"/>
          <w:sz w:val="32"/>
          <w:szCs w:val="32"/>
        </w:rPr>
      </w:pPr>
      <w:bookmarkStart w:id="4" w:name="_GoBack"/>
      <w:bookmarkEnd w:id="4"/>
    </w:p>
    <w:p>
      <w:pPr>
        <w:ind w:firstLineChars="200" w:firstLine="640"/>
        <w:jc w:val="right"/>
        <w:rPr>
          <w:rFonts w:ascii="Times New Roman" w:eastAsia="仿宋_GB2312" w:hAnsi="Times New Roman" w:cs="Times New Roman"/>
          <w:sz w:val="32"/>
          <w:szCs w:val="32"/>
        </w:rPr>
      </w:pPr>
    </w:p>
    <w:p>
      <w:pPr>
        <w:ind w:firstLineChars="200" w:firstLine="640"/>
        <w:jc w:val="right"/>
        <w:rPr>
          <w:rFonts w:ascii="Times New Roman" w:eastAsia="仿宋_GB2312" w:hAnsi="Times New Roman" w:cs="Times New Roman"/>
          <w:sz w:val="32"/>
          <w:szCs w:val="32"/>
        </w:rPr>
      </w:pPr>
    </w:p>
    <w:p>
      <w:pPr>
        <w:ind w:firstLineChars="200" w:firstLine="640"/>
        <w:jc w:val="right"/>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天津健信会计师</w:t>
      </w:r>
      <w:proofErr w:type="gramEnd"/>
      <w:r>
        <w:rPr>
          <w:rFonts w:ascii="Times New Roman" w:eastAsia="仿宋_GB2312" w:hAnsi="Times New Roman" w:cs="Times New Roman"/>
          <w:sz w:val="32"/>
          <w:szCs w:val="32"/>
        </w:rPr>
        <w:t>事务所（普通合伙）</w:t>
      </w:r>
    </w:p>
    <w:p>
      <w:pPr>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w:t>
      </w:r>
    </w:p>
    <w:sectPr>
      <w:footerReference w:type="default" r:id="rId11"/>
      <w:pgSz w:w="11906" w:h="16838"/>
      <w:pgMar w:top="1440" w:right="1133" w:bottom="1440" w:left="1985"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6"/>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8</w:t>
    </w:r>
    <w:r>
      <w:rPr>
        <w:noProof/>
        <w:lang w:val="zh-CN"/>
      </w:rPr>
      <w:fldChar w:fldCharType="end"/>
    </w:r>
  </w:p>
  <w:p>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0B11F"/>
    <w:multiLevelType w:val="singleLevel"/>
    <w:tmpl w:val="9240B11F"/>
    <w:lvl w:ilvl="0">
      <w:start w:val="1"/>
      <w:numFmt w:val="decimal"/>
      <w:suff w:val="nothing"/>
      <w:lvlText w:val="（%1）"/>
      <w:lvlJc w:val="left"/>
    </w:lvl>
  </w:abstractNum>
  <w:abstractNum w:abstractNumId="1">
    <w:nsid w:val="A57824F1"/>
    <w:multiLevelType w:val="singleLevel"/>
    <w:tmpl w:val="A57824F1"/>
    <w:lvl w:ilvl="0">
      <w:start w:val="5"/>
      <w:numFmt w:val="chineseCounting"/>
      <w:suff w:val="nothing"/>
      <w:lvlText w:val="%1、"/>
      <w:lvlJc w:val="left"/>
      <w:rPr>
        <w:rFonts w:hint="eastAsia"/>
      </w:rPr>
    </w:lvl>
  </w:abstractNum>
  <w:abstractNum w:abstractNumId="2">
    <w:nsid w:val="BD7B2F5F"/>
    <w:multiLevelType w:val="singleLevel"/>
    <w:tmpl w:val="BD7B2F5F"/>
    <w:lvl w:ilvl="0">
      <w:start w:val="1"/>
      <w:numFmt w:val="chineseCounting"/>
      <w:suff w:val="nothing"/>
      <w:lvlText w:val="（%1）"/>
      <w:lvlJc w:val="left"/>
      <w:rPr>
        <w:rFonts w:hint="eastAsia"/>
      </w:rPr>
    </w:lvl>
  </w:abstractNum>
  <w:abstractNum w:abstractNumId="3">
    <w:nsid w:val="2761EB62"/>
    <w:multiLevelType w:val="singleLevel"/>
    <w:tmpl w:val="2761EB62"/>
    <w:lvl w:ilvl="0">
      <w:start w:val="2"/>
      <w:numFmt w:val="chineseCounting"/>
      <w:suff w:val="nothing"/>
      <w:lvlText w:val="（%1）"/>
      <w:lvlJc w:val="left"/>
      <w:rPr>
        <w:rFonts w:hint="eastAsia"/>
      </w:rPr>
    </w:lvl>
  </w:abstractNum>
  <w:abstractNum w:abstractNumId="4">
    <w:nsid w:val="3F482247"/>
    <w:multiLevelType w:val="singleLevel"/>
    <w:tmpl w:val="3F482247"/>
    <w:lvl w:ilvl="0">
      <w:start w:val="1"/>
      <w:numFmt w:val="chineseCounting"/>
      <w:suff w:val="nothing"/>
      <w:lvlText w:val="（%1）"/>
      <w:lvlJc w:val="left"/>
      <w:rPr>
        <w:rFonts w:hint="eastAsia"/>
      </w:rPr>
    </w:lvl>
  </w:abstractNum>
  <w:abstractNum w:abstractNumId="5">
    <w:nsid w:val="43737A76"/>
    <w:multiLevelType w:val="singleLevel"/>
    <w:tmpl w:val="43737A76"/>
    <w:lvl w:ilvl="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qFormat="1"/>
    <w:lsdException w:name="Balloon Text"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qFormat/>
    <w:pPr>
      <w:ind w:leftChars="2500" w:left="10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Pr>
      <w:b/>
      <w:bCs/>
    </w:rPr>
  </w:style>
  <w:style w:type="character" w:styleId="ac">
    <w:name w:val="page number"/>
    <w:basedOn w:val="a0"/>
    <w:qFormat/>
  </w:style>
  <w:style w:type="character" w:styleId="ad">
    <w:name w:val="Hyperlink"/>
    <w:uiPriority w:val="99"/>
    <w:semiHidden/>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paragraph" w:styleId="af">
    <w:name w:val="List Paragraph"/>
    <w:basedOn w:val="a"/>
    <w:uiPriority w:val="99"/>
    <w:qFormat/>
    <w:pPr>
      <w:ind w:firstLineChars="200" w:firstLine="420"/>
    </w:pPr>
  </w:style>
  <w:style w:type="character" w:customStyle="1" w:styleId="Char1">
    <w:name w:val="批注框文本 Char"/>
    <w:link w:val="a5"/>
    <w:uiPriority w:val="99"/>
    <w:semiHidden/>
    <w:qFormat/>
    <w:locked/>
    <w:rPr>
      <w:sz w:val="18"/>
      <w:szCs w:val="18"/>
    </w:rPr>
  </w:style>
  <w:style w:type="character" w:customStyle="1" w:styleId="Char0">
    <w:name w:val="日期 Char"/>
    <w:basedOn w:val="a0"/>
    <w:link w:val="a4"/>
    <w:uiPriority w:val="99"/>
    <w:semiHidden/>
    <w:qFormat/>
    <w:locked/>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
    <w:name w:val="Char"/>
    <w:basedOn w:val="a"/>
    <w:uiPriority w:val="99"/>
    <w:qFormat/>
    <w:pPr>
      <w:spacing w:before="100" w:beforeAutospacing="1" w:after="100" w:afterAutospacing="1"/>
    </w:pPr>
    <w:rPr>
      <w:rFonts w:ascii="Times New Roman" w:hAnsi="Times New Roman" w:cs="Times New Roman"/>
    </w:rPr>
  </w:style>
  <w:style w:type="table" w:customStyle="1" w:styleId="2">
    <w:name w:val="网格型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Pr>
      <w:rFonts w:cs="Calibri"/>
      <w:kern w:val="2"/>
      <w:sz w:val="21"/>
      <w:szCs w:val="21"/>
    </w:rPr>
  </w:style>
  <w:style w:type="character" w:customStyle="1" w:styleId="Char4">
    <w:name w:val="批注主题 Char"/>
    <w:basedOn w:val="Char"/>
    <w:link w:val="a9"/>
    <w:uiPriority w:val="99"/>
    <w:semiHidden/>
    <w:qFormat/>
    <w:rPr>
      <w:rFonts w:cs="Calibri"/>
      <w:b/>
      <w:bCs/>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554D29C-7D24-4616-A480-3340E701E0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14</Pages>
  <Words>6269</Words>
  <Characters>426</Characters>
  <Application>Microsoft Office Word</Application>
  <DocSecurity>0</DocSecurity>
  <Lines>3</Lines>
  <Paragraphs>13</Paragraphs>
  <ScaleCrop>false</ScaleCrop>
  <Company>微软中国</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TOSHBIA</dc:creator>
  <cp:lastModifiedBy>微软中国</cp:lastModifiedBy>
  <cp:revision>49</cp:revision>
  <cp:lastPrinted>2020-12-01T08:28:00Z</cp:lastPrinted>
  <dcterms:created xsi:type="dcterms:W3CDTF">2019-12-28T12:36:00Z</dcterms:created>
  <dcterms:modified xsi:type="dcterms:W3CDTF">2020-12-29T01:04:00Z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