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西青区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地方政府债务预算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2021年，我区一般公共预算中安排债务付息支出6147 万元、债务发行费用支出200万元、一般债务还本支出100000万元；政府性基金预算中安排债务付息支出43521万元、债务发行费用支出400万元、专项债务还本支出198900万元。上述数据可从西青区2020年一般公共支出预算执行情况和2021年支出预算表、西青区2020年政府性基金支出预算执行情况和2021年支出预算表中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由于政府债券由市级统一发行，我区在编制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预算时不掌握本年度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政府债券限额以及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暂时无法编制政府债务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资金使用安排情况。</w:t>
      </w:r>
      <w:bookmarkStart w:id="0" w:name="_GoBack"/>
      <w:bookmarkEnd w:id="0"/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TQ5ZTM0ZmY2ZWVmZGI3ZmQ4YjBmOTQ2NTU0ZTUifQ=="/>
  </w:docVars>
  <w:rsids>
    <w:rsidRoot w:val="26624093"/>
    <w:rsid w:val="26624093"/>
    <w:rsid w:val="74FEFFB8"/>
    <w:rsid w:val="E9BF8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2022-09-01T19:15:00Z</dcterms:created>
  <dc:creator>古道寒风</dc:creator>
  <cp:lastModifiedBy>greatwall</cp:lastModifiedBy>
  <dcterms:modified xsi:type="dcterms:W3CDTF">2022-09-01T14:02:35Z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663B6DF8FAE44F73BE93D035C78CF47F</vt:lpwstr>
  </property>
</Properties>
</file>