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西青区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地方政府债务预算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2022年，我区一般公共预算中安排债务付息支出6637 万元、债务发行费用支出100万元、一般债务还本支出0万元；政府性基金预算中安排债务付息支出46795万元、债务发行费用支出300万元、专项债务还本支出160000万元。上述数据可从西青区2021年一般公共支出预算执行情况和2022年支出预算表、西青区2021年政府性基金支出预算执行情况和2022年支出预算表中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由于政府债券由市级统一发行，我区在编制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预算时不掌握本年度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政府债券限额以及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暂时无法编制政府债务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资金使用安排情况。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TQ5ZTM0ZmY2ZWVmZGI3ZmQ4YjBmOTQ2NTU0ZTUifQ=="/>
  </w:docVars>
  <w:rsids>
    <w:rsidRoot w:val="26624093"/>
    <w:rsid w:val="26624093"/>
    <w:rsid w:val="36374037"/>
    <w:rsid w:val="74FEFFB8"/>
    <w:rsid w:val="E9BF8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2022-09-02T03:15:00Z</dcterms:created>
  <dc:creator>古道寒风</dc:creator>
  <cp:lastModifiedBy>greatwall</cp:lastModifiedBy>
  <dcterms:modified xsi:type="dcterms:W3CDTF">2023-05-13T15:32:51Z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663B6DF8FAE44F73BE93D035C78CF47F</vt:lpwstr>
  </property>
</Properties>
</file>