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年天津市西青区第二幼儿园招生简章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家长您好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我园为天津市公办示范幼儿园，按照《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西青区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幼儿园招生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实施方案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》相关要求，现公布我园招生简章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一、招生班级：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凡符合报名条件的年满3周岁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（201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年9月1日至20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年8月31日间出生）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三、招生名额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5个班）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（一）保育教育费：按照《天津市公办幼儿园保育教育费收费标准》规定，每生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1060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元/月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（二）我园提供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点，餐费每生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元/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）生活用品费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幼儿个人使用的被褥、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毛巾、水杯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、餐具，一次性收取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377元/人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五、报名条件：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凡具有西青区户籍或合法的固定住所，且年满3周岁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（201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年9月1日至20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年8月31日间出生）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的适龄幼儿均可报名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1.本次招生需在“西青区公办幼儿园幼儿报名信息登记系统”（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网址：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auto"/>
        </w:rPr>
        <w:t>http://yeyzs.tjxqjy.com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2.“西青区公办幼儿园幼儿报名信息登记系统”（网址：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</w:rPr>
        <w:t>http://yeyzs.tjxqjy.com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日（星期六）上午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凡拟报名我园、且符合报名条件的适龄幼儿，家长在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日（星期六）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日（星期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）期间每天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:00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:00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通过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（网址：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auto"/>
        </w:rPr>
        <w:t>http://yeyzs.tjxqjy.com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进行网上实名信息登记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每位幼儿登记一所公办幼儿园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（包括购买服务、购买学位幼儿园）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4.“西青区公办幼儿园幼儿报名信息登记系统”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于202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:00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关闭。系统关闭后，将无法进行报名注册。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注册成功的家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（当天21:30—第二天8:30）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（网址：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auto"/>
        </w:rPr>
        <w:t>http://yeyzs.tjxqjy.com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下载系统生成的《西青区公办幼儿园报名验证预约单》并截屏保存。按照预约单所提示的时间到报名幼儿园进行相关证件的核验。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（二）现场验证：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6月20日—6月21日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）</w:t>
      </w:r>
      <w:bookmarkStart w:id="0" w:name="_GoBack"/>
      <w:bookmarkEnd w:id="0"/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验证时间：请网上注册成功的家长严格按照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《西青区公办幼儿园报名验证预约单》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要求的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验证时间携带户籍证明、固定住所证明、监护人身份证、儿童预防接种证进行现场信息验证。</w:t>
      </w:r>
    </w:p>
    <w:p>
      <w:pPr>
        <w:spacing w:line="7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2.验证地点：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天津市西青区第二幼儿园（西青区杨柳青镇青致路北）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3.验证流程：出示注册成功信息—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——核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验相关证件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如验证合格幼儿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数小于等于招生人数，将录取验证合格的所有幼儿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如验证合格幼儿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数大于招生人数将进行随机派位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幼儿园公布报名情况、验证情况、是否通过随机派位的方式录取。通过微信公众号等方式公布空余学位情况。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1.6月22日下午幼儿园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00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随机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派位时间：6月24日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（星期六）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 xml:space="preserve">    派位工作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全区统一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进行，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派位”现场由公证处公证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员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，人大代表、政协委员、社区代表、家长代表、纪检监察人员等参与监督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相关领导和幼儿园园长、教师代表在现场观看派位全过程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家长根据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  <w:t>电话通知要求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我园于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月25日通过公众号公布空余学位情况及补招方式，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请家长关注我园公众号，名称为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天津市西青区第二幼儿园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★未被幼儿园录取的幼儿，家长可自行选择到其他幼儿园报名入园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年西青区幼儿园名单及招生咨询电话请查看西青区教育局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微信公众号最新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公布的《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2023年西青区幼儿园招生实施方案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》）。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 xml:space="preserve">      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每名幼儿只能报一所公办幼儿园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（包括购买服务、购买学位幼儿园）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。请家长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认真阅读招生简章后，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根据个人情况认真规划报名意愿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幼儿园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招生工作咨询电话：2739 2672（王园长） </w:t>
      </w:r>
    </w:p>
    <w:p>
      <w:pPr>
        <w:spacing w:line="760" w:lineRule="exact"/>
        <w:ind w:firstLine="4480" w:firstLineChars="16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15122666557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老师)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幼儿园微信公众号（二维码）：</w:t>
      </w:r>
    </w:p>
    <w:p>
      <w:pPr>
        <w:spacing w:line="360" w:lineRule="auto"/>
        <w:ind w:firstLine="280" w:firstLineChars="1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822960</wp:posOffset>
            </wp:positionH>
            <wp:positionV relativeFrom="page">
              <wp:posOffset>3889375</wp:posOffset>
            </wp:positionV>
            <wp:extent cx="1903095" cy="1551305"/>
            <wp:effectExtent l="0" t="0" r="1905" b="1079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3095" cy="155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</w:t>
      </w:r>
    </w:p>
    <w:p>
      <w:pPr>
        <w:spacing w:line="360" w:lineRule="auto"/>
        <w:ind w:firstLine="280" w:firstLineChars="1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ind w:firstLine="280" w:firstLineChars="1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天津市西青区第二幼儿园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jVkYzY0OWEwMzE3YjJiMTA0NWY1NGU3OTJlYmM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472C83"/>
    <w:rsid w:val="05ED67DC"/>
    <w:rsid w:val="067D1ADC"/>
    <w:rsid w:val="0A1D7EA8"/>
    <w:rsid w:val="0AA43604"/>
    <w:rsid w:val="0ABE5AA8"/>
    <w:rsid w:val="0B567CA7"/>
    <w:rsid w:val="0B9D6896"/>
    <w:rsid w:val="0C0619FE"/>
    <w:rsid w:val="0D7B2DAD"/>
    <w:rsid w:val="0D8B55C6"/>
    <w:rsid w:val="106E22E2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3D22A8E"/>
    <w:rsid w:val="25126E75"/>
    <w:rsid w:val="25E876E0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85A0FB1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0F2DEB"/>
    <w:rsid w:val="45156952"/>
    <w:rsid w:val="48AF45B3"/>
    <w:rsid w:val="4A474519"/>
    <w:rsid w:val="4BC356A5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83C3F47"/>
    <w:rsid w:val="685C5F66"/>
    <w:rsid w:val="68BE5205"/>
    <w:rsid w:val="698733ED"/>
    <w:rsid w:val="69BF6266"/>
    <w:rsid w:val="6DF61EEF"/>
    <w:rsid w:val="71A95085"/>
    <w:rsid w:val="755A7FB6"/>
    <w:rsid w:val="778D46C4"/>
    <w:rsid w:val="77F54AD9"/>
    <w:rsid w:val="7875412E"/>
    <w:rsid w:val="79890E0C"/>
    <w:rsid w:val="7A2112CD"/>
    <w:rsid w:val="7AC23973"/>
    <w:rsid w:val="7C215ED5"/>
    <w:rsid w:val="7C463AEF"/>
    <w:rsid w:val="7CB650A7"/>
    <w:rsid w:val="7D274B59"/>
    <w:rsid w:val="7DA319CB"/>
    <w:rsid w:val="7DF662E6"/>
    <w:rsid w:val="7E7A3A8F"/>
    <w:rsid w:val="7EA1510B"/>
    <w:rsid w:val="7EE6701F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1666</Words>
  <Characters>1860</Characters>
  <Lines>12</Lines>
  <Paragraphs>3</Paragraphs>
  <TotalTime>30</TotalTime>
  <ScaleCrop>false</ScaleCrop>
  <LinksUpToDate>false</LinksUpToDate>
  <CharactersWithSpaces>2074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2020-06-16T16:25:00Z</dcterms:created>
  <dc:creator>dell</dc:creator>
  <cp:lastModifiedBy>姝骅</cp:lastModifiedBy>
  <cp:lastPrinted>2023-05-29T05:55:00Z</cp:lastPrinted>
  <dcterms:modified xsi:type="dcterms:W3CDTF">2023-06-05T02:50:07Z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5188635F800F4D2ABFD337B0CCFDED8A_13</vt:lpwstr>
  </property>
</Properties>
</file>