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天津市西青区京师育成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示范级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1272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二）我园提供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生活用品费（被褥、洗漱用品、餐具）：550元/生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1.3-4周岁适龄幼儿。（不限户籍和固定居所）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2.新冠肺炎疫情防控一线医务人员子女、引进人才子女、  烈士子女、符合条件的现役军人子女、消防救援队伍人员子女、公安英模和因公牺牲伤残警察子女及其他各类优抚对象，依据相关政策妥善安置。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 xml:space="preserve">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网址：https://yeyzs.tjxqjy.com）进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2.“西青区公办幼儿园幼儿报名信息登记系统”（网址：https://yeyzs.tjxqjy.com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（网址：https://yeyzs.tjxqjy.com）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（网址：https://yeyzs.tjxqjy.com）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天津市西青区京师育成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天津市西青区中北镇中北大道138号溪悦园公建一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3.验证流程：出示注册成功信息—检验相关证件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numPr>
          <w:ilvl w:val="0"/>
          <w:numId w:val="5"/>
        </w:numPr>
        <w:wordWrap/>
        <w:adjustRightInd/>
        <w:spacing w:line="760" w:lineRule="exact"/>
        <w:ind w:left="700" w:leftChars="0" w:right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left="70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3787140</wp:posOffset>
            </wp:positionH>
            <wp:positionV relativeFrom="paragraph">
              <wp:posOffset>165100</wp:posOffset>
            </wp:positionV>
            <wp:extent cx="1197610" cy="1197610"/>
            <wp:effectExtent l="0" t="0" r="6350" b="6350"/>
            <wp:wrapNone/>
            <wp:docPr id="1" name="图片 1" descr="b7c37cde323bf0bc4a29d68c7b7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7c37cde323bf0bc4a29d68c7b702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022—59000136  13312131179 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spacing w:line="360" w:lineRule="auto"/>
        <w:jc w:val="both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360" w:lineRule="auto"/>
        <w:ind w:firstLine="4480" w:firstLineChars="14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天津市西青区京师育成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93738-CF04-486C-BCA5-A29D63BD2F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1EF35FB-5B31-4C21-B32A-EBBF9297961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BA75212-31F2-40F9-AFE7-4F8706F3DB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52F767-8C88-4926-AF92-B49FF1A94810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4C65B1"/>
    <w:multiLevelType w:val="singleLevel"/>
    <w:tmpl w:val="DE4C65B1"/>
    <w:lvl w:ilvl="0" w:tentative="0">
      <w:start w:val="7"/>
      <w:numFmt w:val="chineseCounting"/>
      <w:suff w:val="nothing"/>
      <w:lvlText w:val="%1、"/>
      <w:lvlJc w:val="left"/>
      <w:pPr>
        <w:ind w:left="700" w:leftChars="0" w:firstLine="0" w:firstLineChars="0"/>
      </w:pPr>
      <w:rPr>
        <w:rFonts w:hint="eastAsia"/>
      </w:rPr>
    </w:lvl>
  </w:abstractNum>
  <w:abstractNum w:abstractNumId="1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2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3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4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4MjVhZWI5YTAzNmQ3Zjk5Njc1Y2ZjNzE3MWExNW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8F5539B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9F64464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37B1165"/>
    <w:rsid w:val="34D85CC4"/>
    <w:rsid w:val="36DA757A"/>
    <w:rsid w:val="38473B35"/>
    <w:rsid w:val="3850556D"/>
    <w:rsid w:val="3A8463C2"/>
    <w:rsid w:val="3C4953F6"/>
    <w:rsid w:val="3C5743F4"/>
    <w:rsid w:val="3D0F4035"/>
    <w:rsid w:val="3E3B0C60"/>
    <w:rsid w:val="3F453ADA"/>
    <w:rsid w:val="3FA122A2"/>
    <w:rsid w:val="4070787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4A01E4F"/>
    <w:rsid w:val="45156952"/>
    <w:rsid w:val="46ED51D1"/>
    <w:rsid w:val="4A474519"/>
    <w:rsid w:val="4CAD039F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1DC274E"/>
    <w:rsid w:val="63F7574C"/>
    <w:rsid w:val="66FF1E88"/>
    <w:rsid w:val="685C5F66"/>
    <w:rsid w:val="68BE5205"/>
    <w:rsid w:val="698733ED"/>
    <w:rsid w:val="69BF6266"/>
    <w:rsid w:val="6BD700E6"/>
    <w:rsid w:val="6DF61EEF"/>
    <w:rsid w:val="71A95085"/>
    <w:rsid w:val="755A7FB6"/>
    <w:rsid w:val="778D46C4"/>
    <w:rsid w:val="77F54AD9"/>
    <w:rsid w:val="7875412E"/>
    <w:rsid w:val="7A2112CD"/>
    <w:rsid w:val="7A7E49A2"/>
    <w:rsid w:val="7AC23973"/>
    <w:rsid w:val="7B7908F5"/>
    <w:rsid w:val="7C215ED5"/>
    <w:rsid w:val="7C463AEF"/>
    <w:rsid w:val="7CB650A7"/>
    <w:rsid w:val="7D274B59"/>
    <w:rsid w:val="7DA319CB"/>
    <w:rsid w:val="7E2D4B55"/>
    <w:rsid w:val="7E7A3A8F"/>
    <w:rsid w:val="7EA1510B"/>
    <w:rsid w:val="7EE6701F"/>
    <w:rsid w:val="BFBBA6CC"/>
    <w:rsid w:val="DBFF81E0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1710</Words>
  <Characters>1914</Characters>
  <Lines>12</Lines>
  <Paragraphs>3</Paragraphs>
  <TotalTime>21</TotalTime>
  <ScaleCrop>false</ScaleCrop>
  <LinksUpToDate>false</LinksUpToDate>
  <CharactersWithSpaces>2080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2020-06-17T08:25:00Z</dcterms:created>
  <dc:creator>dell</dc:creator>
  <cp:lastModifiedBy>花花</cp:lastModifiedBy>
  <cp:lastPrinted>2022-06-03T03:45:00Z</cp:lastPrinted>
  <dcterms:modified xsi:type="dcterms:W3CDTF">2023-06-02T08:11:42Z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AD57C8A6CFD9481CBFF1B24B1C72FE27_13</vt:lpwstr>
  </property>
</Properties>
</file>