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天津市西青区西营门街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家长您好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我园为天津市公办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幼儿园，按照《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幼儿园招生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请您认真阅读招生简章和温馨提示，按照相关要求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年9月1日至20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3个班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 w:firstLine="96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具有天津市户籍和合法固定住所的适龄幼儿。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1.本次招生需在“西青区公办幼儿园幼儿报名信息登记系统”（网址：http://yeyzs.tjxqjy.com）进行网上信息登记。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注册成功的家长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验证时间携带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户口簿、户口所在地房屋产权证、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监护人身份证、</w:t>
      </w:r>
      <w:r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  <w:t>幼儿接种证。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（本项所列证件需提供原件及复印件）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验证地点：天津市西青区西营门街中心幼儿园（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西青区大明道营冰路60号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随机派位时间：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全区统一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★未被幼儿园录取的幼儿，家长可自行选择到其他幼儿园报名入园（202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）。</w:t>
      </w: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  <w:highlight w:val="none"/>
        </w:rPr>
        <w:t>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每名幼儿只能报一所公办幼儿园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。请家长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根据个人情况认真规划报名意愿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资助标准：学前教育资助金主要用于受助儿童在园补助，原则上每生每年资助1500元。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left="7027" w:leftChars="0" w:right="0" w:hanging="7027" w:hangingChars="25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highlight w:val="none"/>
        </w:rPr>
        <w:t xml:space="preserve">   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七、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西营门街中心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幼儿园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招生工作咨询电话：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>022-27327219    022-27327211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 w:firstLine="48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b/>
          <w:bCs/>
          <w:color w:val="auto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59690</wp:posOffset>
            </wp:positionV>
            <wp:extent cx="1047750" cy="454025"/>
            <wp:effectExtent l="0" t="0" r="0" b="3175"/>
            <wp:wrapTight wrapText="bothSides">
              <wp:wrapPolygon>
                <wp:start x="0" y="0"/>
                <wp:lineTo x="0" y="20845"/>
                <wp:lineTo x="21207" y="20845"/>
                <wp:lineTo x="21207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6735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43815</wp:posOffset>
            </wp:positionV>
            <wp:extent cx="636270" cy="636270"/>
            <wp:effectExtent l="0" t="0" r="11430" b="11430"/>
            <wp:wrapTight wrapText="bothSides">
              <wp:wrapPolygon>
                <wp:start x="0" y="0"/>
                <wp:lineTo x="0" y="20695"/>
                <wp:lineTo x="20695" y="20695"/>
                <wp:lineTo x="20695" y="0"/>
                <wp:lineTo x="0" y="0"/>
              </wp:wrapPolygon>
            </wp:wrapTight>
            <wp:docPr id="2" name="图片 2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西营门街中心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天津市西青区西营门街中心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                                 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043" w:right="1304" w:bottom="703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zM2OGYyOWMxMTM4ODRkMzA5ZDEyZmUxZTEyNWQ2YT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8763A77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1559</Words>
  <Characters>1727</Characters>
  <Lines>12</Lines>
  <Paragraphs>3</Paragraphs>
  <TotalTime>5</TotalTime>
  <ScaleCrop>false</ScaleCrop>
  <LinksUpToDate>false</LinksUpToDate>
  <CharactersWithSpaces>1922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user</cp:lastModifiedBy>
  <cp:lastPrinted>2023-06-05T00:22:07Z</cp:lastPrinted>
  <dcterms:modified xsi:type="dcterms:W3CDTF">2023-06-05T00:26:17Z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45367A53C36D4EE3A14C86EB026AA590</vt:lpwstr>
  </property>
</Properties>
</file>