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after="0" w:line="240" w:lineRule="auto"/>
        <w:rPr>
          <w:color w:val="000000" w:themeColor="text1"/>
          <w:sz w:val="32"/>
          <w:szCs w:val="32"/>
          <w14:textFill>
            <w14:solidFill>
              <w14:schemeClr w14:val="tx1"/>
            </w14:solidFill>
          </w14:textFill>
        </w:rPr>
      </w:pPr>
      <w:bookmarkStart w:id="0" w:name="OLE_LINK1"/>
      <w:r>
        <w:rPr>
          <w:rFonts w:hint="eastAsia"/>
          <w:color w:val="000000" w:themeColor="text1"/>
          <w:sz w:val="32"/>
          <w:szCs w:val="32"/>
          <w14:textFill>
            <w14:solidFill>
              <w14:schemeClr w14:val="tx1"/>
            </w14:solidFill>
          </w14:textFill>
        </w:rPr>
        <w:t>天津市西青区津城南部产城示范区总体城市设计与特色风貌专项规划（</w:t>
      </w:r>
      <w:r>
        <w:rPr>
          <w:color w:val="000000" w:themeColor="text1"/>
          <w:sz w:val="32"/>
          <w:szCs w:val="32"/>
          <w14:textFill>
            <w14:solidFill>
              <w14:schemeClr w14:val="tx1"/>
            </w14:solidFill>
          </w14:textFill>
        </w:rPr>
        <w:t>2021</w:t>
      </w:r>
      <w:r>
        <w:rPr>
          <w:rFonts w:hint="eastAsia"/>
          <w:color w:val="000000" w:themeColor="text1"/>
          <w:sz w:val="32"/>
          <w:szCs w:val="32"/>
          <w14:textFill>
            <w14:solidFill>
              <w14:schemeClr w14:val="tx1"/>
            </w14:solidFill>
          </w14:textFill>
        </w:rPr>
        <w:t>-2</w:t>
      </w:r>
      <w:r>
        <w:rPr>
          <w:color w:val="000000" w:themeColor="text1"/>
          <w:sz w:val="32"/>
          <w:szCs w:val="32"/>
          <w14:textFill>
            <w14:solidFill>
              <w14:schemeClr w14:val="tx1"/>
            </w14:solidFill>
          </w14:textFill>
        </w:rPr>
        <w:t>035</w:t>
      </w:r>
      <w:r>
        <w:rPr>
          <w:rFonts w:hint="eastAsia"/>
          <w:color w:val="000000" w:themeColor="text1"/>
          <w:sz w:val="32"/>
          <w:szCs w:val="32"/>
          <w14:textFill>
            <w14:solidFill>
              <w14:schemeClr w14:val="tx1"/>
            </w14:solidFill>
          </w14:textFill>
        </w:rPr>
        <w:t>年）</w:t>
      </w:r>
    </w:p>
    <w:bookmarkEnd w:id="0"/>
    <w:p>
      <w:pPr>
        <w:pStyle w:val="2"/>
        <w:spacing w:before="0" w:after="0" w:line="240" w:lineRule="auto"/>
        <w:rPr>
          <w:color w:val="000000" w:themeColor="text1"/>
          <w14:textFill>
            <w14:solidFill>
              <w14:schemeClr w14:val="tx1"/>
            </w14:solidFill>
          </w14:textFill>
        </w:rPr>
      </w:pPr>
      <w:r>
        <w:rPr>
          <w:color w:val="000000" w:themeColor="text1"/>
          <w:sz w:val="32"/>
          <w:szCs w:val="32"/>
          <w14:textFill>
            <w14:solidFill>
              <w14:schemeClr w14:val="tx1"/>
            </w14:solidFill>
          </w14:textFill>
        </w:rPr>
        <w:t>（</w:t>
      </w:r>
      <w:r>
        <w:rPr>
          <w:rFonts w:hint="eastAsia"/>
          <w:color w:val="000000" w:themeColor="text1"/>
          <w:sz w:val="32"/>
          <w:szCs w:val="32"/>
          <w:lang w:val="en-US" w:eastAsia="zh-CN"/>
          <w14:textFill>
            <w14:solidFill>
              <w14:schemeClr w14:val="tx1"/>
            </w14:solidFill>
          </w14:textFill>
        </w:rPr>
        <w:t>公示稿</w:t>
      </w:r>
      <w:r>
        <w:rPr>
          <w:color w:val="000000" w:themeColor="text1"/>
          <w:sz w:val="32"/>
          <w:szCs w:val="32"/>
          <w14:textFill>
            <w14:solidFill>
              <w14:schemeClr w14:val="tx1"/>
            </w14:solidFill>
          </w14:textFill>
        </w:rPr>
        <w:t>）</w:t>
      </w:r>
      <w:r>
        <w:rPr>
          <w:color w:val="000000" w:themeColor="text1"/>
          <w14:textFill>
            <w14:solidFill>
              <w14:schemeClr w14:val="tx1"/>
            </w14:solidFill>
          </w14:textFill>
        </w:rPr>
        <w:t xml:space="preserve"> </w:t>
      </w:r>
    </w:p>
    <w:p>
      <w:pPr>
        <w:pStyle w:val="3"/>
        <w:ind w:left="0" w:leftChars="0" w:firstLine="0" w:firstLineChars="0"/>
      </w:pPr>
      <w:bookmarkStart w:id="1" w:name="_Toc3880"/>
      <w:r>
        <w:rPr>
          <w:rFonts w:hint="eastAsia"/>
        </w:rPr>
        <w:t>一</w:t>
      </w:r>
      <w:r>
        <w:t>、</w:t>
      </w:r>
      <w:r>
        <w:rPr>
          <w:rFonts w:hint="eastAsia"/>
        </w:rPr>
        <w:t>规划背景</w:t>
      </w:r>
      <w:bookmarkEnd w:id="1"/>
    </w:p>
    <w:p>
      <w:pPr>
        <w:rPr>
          <w:rFonts w:ascii="仿宋" w:hAnsi="仿宋" w:cs="仿宋"/>
          <w:color w:val="000000" w:themeColor="text1"/>
          <w14:textFill>
            <w14:solidFill>
              <w14:schemeClr w14:val="tx1"/>
            </w14:solidFill>
          </w14:textFill>
        </w:rPr>
      </w:pPr>
      <w:r>
        <w:rPr>
          <w:rFonts w:hint="eastAsia" w:ascii="宋体" w:hAnsi="宋体"/>
          <w:szCs w:val="28"/>
        </w:rPr>
        <w:t>为认真贯彻党中央、国务院关于生态文明建设和环境保护的重要决策部署，统筹推进“五位一体”总体布局和协调推进“四个全面”战略布局，牢固树立和贯彻落实创新、协调、绿色、开放、共享的发展理念，围绕绿色规划、绿色建设战略目标，践行健康城市，提升宜居水平。为推进新时期国家治理体系和治理能力现代化，加强对生态文明建设的总</w:t>
      </w:r>
      <w:r>
        <w:rPr>
          <w:rFonts w:hint="eastAsia" w:ascii="仿宋" w:hAnsi="仿宋" w:cs="仿宋"/>
          <w:szCs w:val="28"/>
        </w:rPr>
        <w:t>体设计和组织领导，设立国有自然资源资产管理和自然生态监督机构，构建国土空间开发保护制度。2019年5月党中央、国务院正式出台《中共中央国务院关于建立国土空间规划体系并监督实施的若干意见》，进而市级层面的国土空间总体规划编制工作已经全面启动，天津市西青区国土空间总体规划编制工作已经全力展开</w:t>
      </w:r>
      <w:r>
        <w:rPr>
          <w:rFonts w:hint="eastAsia" w:ascii="仿宋" w:hAnsi="仿宋" w:cs="仿宋"/>
          <w:color w:val="000000" w:themeColor="text1"/>
          <w14:textFill>
            <w14:solidFill>
              <w14:schemeClr w14:val="tx1"/>
            </w14:solidFill>
          </w14:textFill>
        </w:rPr>
        <w:t>。</w:t>
      </w:r>
      <w:bookmarkStart w:id="17" w:name="_GoBack"/>
      <w:bookmarkEnd w:id="17"/>
    </w:p>
    <w:p>
      <w:pPr>
        <w:rPr>
          <w:rFonts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按照《天津市西青区国土空间总体规划（2021-2035 年）编制工作方案》的有关要求，在国土空间总体规划基础上对重大问题、关键领域进行系统性深化与细化，实现精准施策，支撑区国土空间总体规划编制。《天津市西青区津城南部产城示范区总体城市设计与特色风貌专项规划（2021-2035年）》作为25个专项之一，需进行统筹编制，以指导津城南部产城示范区范围内城市设计与特色风貌编制。</w:t>
      </w:r>
    </w:p>
    <w:p>
      <w:pPr>
        <w:pStyle w:val="3"/>
        <w:ind w:left="0" w:leftChars="0" w:firstLine="0" w:firstLineChars="0"/>
        <w:rPr>
          <w:rFonts w:ascii="仿宋" w:hAnsi="仿宋" w:cs="仿宋"/>
          <w:lang w:eastAsia="zh-CN"/>
        </w:rPr>
      </w:pPr>
      <w:bookmarkStart w:id="2" w:name="_Toc10762"/>
      <w:r>
        <w:rPr>
          <w:rFonts w:hint="eastAsia" w:ascii="仿宋" w:hAnsi="仿宋" w:cs="仿宋"/>
          <w:lang w:val="en-US" w:eastAsia="zh-CN"/>
        </w:rPr>
        <w:t>二</w:t>
      </w:r>
      <w:r>
        <w:rPr>
          <w:rFonts w:hint="eastAsia" w:ascii="仿宋" w:hAnsi="仿宋" w:cs="仿宋"/>
          <w:lang w:eastAsia="zh-CN"/>
        </w:rPr>
        <w:t>、规划范围</w:t>
      </w:r>
      <w:bookmarkEnd w:id="2"/>
    </w:p>
    <w:p>
      <w:pPr>
        <w:rPr>
          <w:rFonts w:ascii="仿宋" w:hAnsi="仿宋" w:cs="仿宋"/>
        </w:rPr>
      </w:pPr>
      <w:r>
        <w:rPr>
          <w:rFonts w:hint="eastAsia" w:ascii="仿宋" w:hAnsi="仿宋" w:cs="仿宋"/>
          <w:color w:val="000000" w:themeColor="text1"/>
          <w14:textFill>
            <w14:solidFill>
              <w14:schemeClr w14:val="tx1"/>
            </w14:solidFill>
          </w14:textFill>
        </w:rPr>
        <w:t>津城南部产城示范区总体城市设计与特色风貌专项规划</w:t>
      </w:r>
      <w:r>
        <w:rPr>
          <w:rFonts w:hint="eastAsia" w:ascii="仿宋" w:hAnsi="仿宋" w:cs="仿宋"/>
        </w:rPr>
        <w:t>包括津城南部产城示范区和示范区核心区两个层次。</w:t>
      </w:r>
    </w:p>
    <w:p>
      <w:pPr>
        <w:rPr>
          <w:rFonts w:ascii="仿宋" w:hAnsi="仿宋" w:cs="仿宋"/>
        </w:rPr>
      </w:pPr>
      <w:r>
        <w:rPr>
          <w:rFonts w:hint="eastAsia" w:ascii="仿宋" w:hAnsi="仿宋" w:cs="仿宋"/>
        </w:rPr>
        <w:t>示范区范围为北至外环南路，南至独流减河，西至团泊大道与津涞公路，东至西青区行政区边界，规划总面积247平方公里。区域涵盖西青开发区、大寺镇、王稳庄镇、李七庄街、精武镇、赤龙南街。</w:t>
      </w:r>
    </w:p>
    <w:p>
      <w:pPr>
        <w:rPr>
          <w:rFonts w:ascii="仿宋" w:hAnsi="仿宋" w:cs="仿宋"/>
        </w:rPr>
      </w:pPr>
      <w:r>
        <w:rPr>
          <w:rFonts w:hint="eastAsia" w:ascii="仿宋" w:hAnsi="仿宋" w:cs="仿宋"/>
        </w:rPr>
        <w:t>核心区位于津城南部产城示范区东北部，由南外环-津港高速-蓟汕联络线-津晋高速-荣乌联络线围合，规划总面积51平方公里。</w:t>
      </w:r>
    </w:p>
    <w:p>
      <w:pPr>
        <w:pStyle w:val="3"/>
        <w:ind w:left="0" w:leftChars="0" w:firstLine="0" w:firstLineChars="0"/>
        <w:rPr>
          <w:rFonts w:ascii="仿宋" w:hAnsi="仿宋" w:cs="仿宋"/>
          <w:lang w:eastAsia="zh-CN"/>
        </w:rPr>
      </w:pPr>
      <w:bookmarkStart w:id="3" w:name="_Toc14411"/>
      <w:r>
        <w:rPr>
          <w:rFonts w:hint="eastAsia" w:ascii="仿宋" w:hAnsi="仿宋" w:cs="仿宋"/>
          <w:lang w:val="en-US" w:eastAsia="zh-CN"/>
        </w:rPr>
        <w:t>三</w:t>
      </w:r>
      <w:r>
        <w:rPr>
          <w:rFonts w:hint="eastAsia" w:ascii="仿宋" w:hAnsi="仿宋" w:cs="仿宋"/>
          <w:lang w:eastAsia="zh-CN"/>
        </w:rPr>
        <w:t>、规划期限</w:t>
      </w:r>
      <w:bookmarkEnd w:id="3"/>
    </w:p>
    <w:p>
      <w:r>
        <w:rPr>
          <w:rFonts w:hint="eastAsia" w:ascii="仿宋" w:hAnsi="仿宋" w:cs="仿宋"/>
        </w:rPr>
        <w:t>规划期限为2021-2035年，基期年为2020年，规划目标年为2035年，近期至2025年，远景展望至2050</w:t>
      </w:r>
      <w:r>
        <w:rPr>
          <w:rFonts w:hint="eastAsia"/>
        </w:rPr>
        <w:t>年。</w:t>
      </w:r>
    </w:p>
    <w:p>
      <w:pPr>
        <w:pStyle w:val="3"/>
        <w:ind w:left="0" w:leftChars="0" w:firstLine="0" w:firstLineChars="0"/>
        <w:rPr>
          <w:lang w:eastAsia="zh-CN"/>
        </w:rPr>
      </w:pPr>
      <w:bookmarkStart w:id="4" w:name="_Toc5572"/>
      <w:r>
        <w:rPr>
          <w:rFonts w:hint="eastAsia"/>
          <w:lang w:val="en-US" w:eastAsia="zh-CN"/>
        </w:rPr>
        <w:t>四</w:t>
      </w:r>
      <w:r>
        <w:rPr>
          <w:lang w:eastAsia="zh-CN"/>
        </w:rPr>
        <w:t>、</w:t>
      </w:r>
      <w:r>
        <w:rPr>
          <w:rFonts w:hint="eastAsia"/>
          <w:lang w:eastAsia="zh-CN"/>
        </w:rPr>
        <w:t>规划目标</w:t>
      </w:r>
      <w:bookmarkEnd w:id="4"/>
    </w:p>
    <w:p>
      <w:pPr>
        <w:rPr>
          <w:color w:val="000000" w:themeColor="text1"/>
          <w14:textFill>
            <w14:solidFill>
              <w14:schemeClr w14:val="tx1"/>
            </w14:solidFill>
          </w14:textFill>
        </w:rPr>
      </w:pPr>
      <w:bookmarkStart w:id="5" w:name="OLE_LINK2"/>
      <w:r>
        <w:rPr>
          <w:rFonts w:hint="eastAsia"/>
          <w:color w:val="000000" w:themeColor="text1"/>
          <w14:textFill>
            <w14:solidFill>
              <w14:schemeClr w14:val="tx1"/>
            </w14:solidFill>
          </w14:textFill>
        </w:rPr>
        <w:t>规划按照京津冀协同发展要求，结合地区发展实际，明确城市风貌定位，通过挖掘城市特色资源，深度剖析与沿袭津城南部产城示范区整体区域的特色；继而总结城市文化脉络，研究历史、人文及遗迹，梳理属于津城南部产城示范区独有的文化脉络；其次把握城市现状及发展趋势，梳理现状建设、生态、产业等方面的遗留问题，依据上位规划制定津城南部产城示范区未来发展定位，努力将津城南部产城示范区建设成为中心城区南部门户，天津市重要先进制造研发中心、产城融合示范区、生态休闲创新区。</w:t>
      </w:r>
    </w:p>
    <w:bookmarkEnd w:id="5"/>
    <w:p>
      <w:pPr>
        <w:pStyle w:val="3"/>
        <w:ind w:left="0" w:leftChars="0" w:firstLine="0" w:firstLineChars="0"/>
        <w:rPr>
          <w:lang w:eastAsia="zh-CN"/>
        </w:rPr>
      </w:pPr>
      <w:bookmarkStart w:id="6" w:name="_Toc29337"/>
      <w:r>
        <w:rPr>
          <w:rFonts w:hint="eastAsia"/>
          <w:lang w:val="en-US" w:eastAsia="zh-CN"/>
        </w:rPr>
        <w:t>五</w:t>
      </w:r>
      <w:r>
        <w:rPr>
          <w:lang w:eastAsia="zh-CN"/>
        </w:rPr>
        <w:t>、</w:t>
      </w:r>
      <w:r>
        <w:rPr>
          <w:rFonts w:hint="eastAsia"/>
          <w:lang w:eastAsia="zh-CN"/>
        </w:rPr>
        <w:t>规划任务</w:t>
      </w:r>
      <w:bookmarkEnd w:id="6"/>
    </w:p>
    <w:p>
      <w:pPr>
        <w:rPr>
          <w:color w:val="000000" w:themeColor="text1"/>
          <w14:textFill>
            <w14:solidFill>
              <w14:schemeClr w14:val="tx1"/>
            </w14:solidFill>
          </w14:textFill>
        </w:rPr>
      </w:pPr>
      <w:r>
        <w:rPr>
          <w:rFonts w:hint="eastAsia" w:ascii="宋体" w:hAnsi="宋体"/>
          <w:szCs w:val="28"/>
        </w:rPr>
        <w:t>通过风貌规划，</w:t>
      </w:r>
      <w:r>
        <w:rPr>
          <w:rFonts w:hint="eastAsia"/>
          <w:color w:val="000000" w:themeColor="text1"/>
          <w14:textFill>
            <w14:solidFill>
              <w14:schemeClr w14:val="tx1"/>
            </w14:solidFill>
          </w14:textFill>
        </w:rPr>
        <w:t>构建津城南部产城示范区的风貌特色，做到对内统一，形成协调有序的风貌景观；对外可识别，突出城市自身的风貌特色。</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构建符合自然生态特征与发展的城市总体空间形态与格局；对重</w:t>
      </w:r>
      <w:bookmarkStart w:id="7" w:name="OLE_LINK4"/>
      <w:r>
        <w:rPr>
          <w:rFonts w:hint="eastAsia"/>
          <w:color w:val="000000" w:themeColor="text1"/>
          <w14:textFill>
            <w14:solidFill>
              <w14:schemeClr w14:val="tx1"/>
            </w14:solidFill>
          </w14:textFill>
        </w:rPr>
        <w:t>要</w:t>
      </w:r>
      <w:bookmarkStart w:id="8" w:name="OLE_LINK3"/>
      <w:r>
        <w:rPr>
          <w:rFonts w:hint="eastAsia"/>
          <w:color w:val="000000" w:themeColor="text1"/>
          <w14:textFill>
            <w14:solidFill>
              <w14:schemeClr w14:val="tx1"/>
            </w14:solidFill>
          </w14:textFill>
        </w:rPr>
        <w:t>的生态格局、生态资源、特色建筑及景</w:t>
      </w:r>
      <w:bookmarkEnd w:id="7"/>
      <w:r>
        <w:rPr>
          <w:rFonts w:hint="eastAsia"/>
          <w:color w:val="000000" w:themeColor="text1"/>
          <w14:textFill>
            <w14:solidFill>
              <w14:schemeClr w14:val="tx1"/>
            </w14:solidFill>
          </w14:textFill>
        </w:rPr>
        <w:t>观、特色</w:t>
      </w:r>
      <w:bookmarkEnd w:id="8"/>
      <w:r>
        <w:rPr>
          <w:rFonts w:hint="eastAsia"/>
          <w:color w:val="000000" w:themeColor="text1"/>
          <w14:textFill>
            <w14:solidFill>
              <w14:schemeClr w14:val="tx1"/>
            </w14:solidFill>
          </w14:textFill>
        </w:rPr>
        <w:t>文化活动等风貌要素进行重点保护、梳理和打造，以保存津城南部产城示范区的文化精神，突出空间特色。</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在城市规划的总体层面，通过风貌规划和总体设计来形成对总体规划法定内容以外的设计要素的补充，使风貌规划与总体规划共同指导津城南部产城示范区的城市建设。</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重视风貌规划导则的“管理指导”作用与行动计划的“实施操作”作用，使风貌塑造成为城市规划实施的重要手段。</w:t>
      </w:r>
    </w:p>
    <w:p>
      <w:pPr>
        <w:pStyle w:val="3"/>
        <w:ind w:left="0" w:leftChars="0" w:firstLine="0" w:firstLineChars="0"/>
        <w:rPr>
          <w:lang w:eastAsia="zh-CN"/>
        </w:rPr>
      </w:pPr>
      <w:bookmarkStart w:id="9" w:name="_Toc646"/>
      <w:r>
        <w:rPr>
          <w:rFonts w:hint="eastAsia"/>
          <w:lang w:val="en-US" w:eastAsia="zh-CN"/>
        </w:rPr>
        <w:t>六</w:t>
      </w:r>
      <w:r>
        <w:rPr>
          <w:lang w:eastAsia="zh-CN"/>
        </w:rPr>
        <w:t>、</w:t>
      </w:r>
      <w:r>
        <w:rPr>
          <w:rFonts w:hint="eastAsia"/>
          <w:lang w:eastAsia="zh-CN"/>
        </w:rPr>
        <w:t>景观风貌定位</w:t>
      </w:r>
      <w:bookmarkEnd w:id="9"/>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确定打造津城南部产城示范区“两轴两带、三片三区”的景观风貌格局，通过划定轴带线位、生态片区边界等生态景观结构要素，突出公园、河道、湖泊、绿地等生态斑块，串联自然河道、道路绿化等生态廊道，创造宜人的生态环境，展现津城南部产城示范区优美的景观风貌。</w:t>
      </w:r>
    </w:p>
    <w:p>
      <w:pPr>
        <w:pStyle w:val="3"/>
        <w:ind w:left="0" w:leftChars="0" w:firstLine="0" w:firstLineChars="0"/>
        <w:rPr>
          <w:lang w:eastAsia="zh-CN"/>
        </w:rPr>
      </w:pPr>
      <w:bookmarkStart w:id="10" w:name="_Toc16692"/>
      <w:r>
        <w:rPr>
          <w:rFonts w:hint="eastAsia"/>
          <w:lang w:val="en-US" w:eastAsia="zh-CN"/>
        </w:rPr>
        <w:t>七</w:t>
      </w:r>
      <w:r>
        <w:rPr>
          <w:rFonts w:hint="eastAsia"/>
          <w:lang w:eastAsia="zh-CN"/>
        </w:rPr>
        <w:t>、规划布局结构</w:t>
      </w:r>
      <w:bookmarkEnd w:id="10"/>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（一）两轴两带</w:t>
      </w:r>
    </w:p>
    <w:p>
      <w:pPr>
        <w:rPr>
          <w:rFonts w:ascii="仿宋" w:hAnsi="仿宋" w:cs="仿宋"/>
        </w:rPr>
      </w:pPr>
      <w:r>
        <w:rPr>
          <w:rFonts w:hint="eastAsia" w:ascii="宋体" w:hAnsi="宋体" w:eastAsia="宋体" w:cs="宋体"/>
          <w:color w:val="333333"/>
          <w:szCs w:val="28"/>
        </w:rPr>
        <w:t>“</w:t>
      </w:r>
      <w:r>
        <w:rPr>
          <w:rFonts w:hint="eastAsia"/>
          <w:color w:val="000000" w:themeColor="text1"/>
          <w14:textFill>
            <w14:solidFill>
              <w14:schemeClr w14:val="tx1"/>
            </w14:solidFill>
          </w14:textFill>
        </w:rPr>
        <w:t>两轴”为生态景观延展轴和城市景观展示轴。生态景观延展轴是串联津城南部产城示范区生</w:t>
      </w:r>
      <w:r>
        <w:rPr>
          <w:rFonts w:hint="eastAsia" w:ascii="仿宋" w:hAnsi="仿宋" w:cs="仿宋"/>
          <w:color w:val="000000" w:themeColor="text1"/>
          <w14:textFill>
            <w14:solidFill>
              <w14:schemeClr w14:val="tx1"/>
            </w14:solidFill>
          </w14:textFill>
        </w:rPr>
        <w:t>态要素的主要脉络，城市景观展示轴是津城南部产城示范区核心区景观风貌要素的展示廊道；“两带”为外环绿带和减河生态涵养带，是津城南部产城示范区人工、自然两类蓝绿生态带状空间的重要体现。</w:t>
      </w:r>
    </w:p>
    <w:p>
      <w:pPr>
        <w:pStyle w:val="5"/>
        <w:rPr>
          <w:rFonts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（二）三片三区</w:t>
      </w:r>
    </w:p>
    <w:p>
      <w:pPr>
        <w:rPr>
          <w:rFonts w:ascii="仿宋" w:hAnsi="仿宋" w:eastAsia="仿宋" w:cs="仿宋"/>
          <w:kern w:val="2"/>
          <w:sz w:val="28"/>
          <w:szCs w:val="22"/>
        </w:rPr>
      </w:pPr>
      <w:r>
        <w:rPr>
          <w:rFonts w:hint="eastAsia" w:ascii="仿宋" w:hAnsi="仿宋" w:cs="仿宋"/>
        </w:rPr>
        <w:t>“三片三区”是体现城市景观风貌的重要结构，依据西青区国土空间总体规划制定的三条控制线（生态保护红线、永久基本农田、城镇开发边界）进行划分。“三片”为西青郊野公园景观风貌片区、泛鸭淀稻塘景观风貌片区、双城间生态屏障农田景观风貌片区。“三区”为津城南部产城示范区核心区、北部城镇建设区和南部城镇建设区。</w:t>
      </w:r>
    </w:p>
    <w:p>
      <w:pPr>
        <w:pStyle w:val="3"/>
        <w:ind w:left="0" w:leftChars="0" w:firstLine="0" w:firstLineChars="0"/>
        <w:rPr>
          <w:lang w:eastAsia="zh-CN"/>
        </w:rPr>
      </w:pPr>
      <w:bookmarkStart w:id="11" w:name="_Toc5685"/>
      <w:r>
        <w:rPr>
          <w:rFonts w:hint="eastAsia"/>
          <w:lang w:val="en-US" w:eastAsia="zh-CN"/>
        </w:rPr>
        <w:t>八</w:t>
      </w:r>
      <w:r>
        <w:rPr>
          <w:lang w:eastAsia="zh-CN"/>
        </w:rPr>
        <w:t>、</w:t>
      </w:r>
      <w:r>
        <w:rPr>
          <w:rFonts w:hint="eastAsia"/>
          <w:lang w:eastAsia="zh-CN"/>
        </w:rPr>
        <w:t>规划风貌分区</w:t>
      </w:r>
      <w:bookmarkEnd w:id="11"/>
    </w:p>
    <w:p>
      <w:pPr>
        <w:rPr>
          <w:rFonts w:ascii="仿宋" w:hAnsi="仿宋" w:cs="仿宋"/>
          <w:color w:val="000000" w:themeColor="text1"/>
          <w14:textFill>
            <w14:solidFill>
              <w14:schemeClr w14:val="tx1"/>
            </w14:solidFill>
          </w14:textFill>
        </w:rPr>
      </w:pPr>
      <w:r>
        <w:rPr>
          <w:rFonts w:hint="eastAsia"/>
          <w:color w:val="000000" w:themeColor="text1"/>
          <w14:textFill>
            <w14:solidFill>
              <w14:schemeClr w14:val="tx1"/>
            </w14:solidFill>
          </w14:textFill>
        </w:rPr>
        <w:t>规划依据津城南部产城示范区不同区</w:t>
      </w:r>
      <w:r>
        <w:rPr>
          <w:rFonts w:hint="eastAsia" w:ascii="仿宋" w:hAnsi="仿宋" w:cs="仿宋"/>
          <w:color w:val="000000" w:themeColor="text1"/>
          <w14:textFill>
            <w14:solidFill>
              <w14:schemeClr w14:val="tx1"/>
            </w14:solidFill>
          </w14:textFill>
        </w:rPr>
        <w:t>域主导功能，将津城南部产城示范区整体分为“七大风貌分区”，各分区分别划定风貌规划引导要求。津城南部产城示范区整体分为研发创新风貌区、城镇产业风貌区、生态宜居风貌区、田园郊野风貌区、稻塘生态风貌区、特色农业风貌区、田园村庄风貌区等七大风貌分区。</w:t>
      </w:r>
    </w:p>
    <w:p>
      <w:pPr>
        <w:pStyle w:val="3"/>
        <w:ind w:left="0" w:leftChars="0" w:firstLine="0" w:firstLineChars="0"/>
        <w:rPr>
          <w:rFonts w:ascii="仿宋" w:hAnsi="仿宋" w:cs="仿宋"/>
          <w:lang w:eastAsia="zh-CN"/>
        </w:rPr>
      </w:pPr>
      <w:bookmarkStart w:id="12" w:name="_Toc31173"/>
      <w:r>
        <w:rPr>
          <w:rFonts w:hint="eastAsia" w:ascii="仿宋" w:hAnsi="仿宋" w:cs="仿宋"/>
          <w:lang w:val="en-US" w:eastAsia="zh-CN"/>
        </w:rPr>
        <w:t>九</w:t>
      </w:r>
      <w:r>
        <w:rPr>
          <w:rFonts w:hint="eastAsia" w:ascii="仿宋" w:hAnsi="仿宋" w:cs="仿宋"/>
          <w:lang w:eastAsia="zh-CN"/>
        </w:rPr>
        <w:t>、色彩系统</w:t>
      </w:r>
      <w:bookmarkEnd w:id="12"/>
    </w:p>
    <w:p>
      <w:pPr>
        <w:rPr>
          <w:rFonts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建筑风格定位充分考虑津城南部产城示范区地域特色、文化内涵和时代发展三方面要素，依据上位规划和城市设计，区域范围内建筑色彩基本色调定为白色、暖灰色、冷灰色和红褐色四大色系。并根据区域生态景观的功能属性，对每一个分区进行具体的色彩设计指导。</w:t>
      </w:r>
    </w:p>
    <w:p>
      <w:pPr>
        <w:pStyle w:val="3"/>
        <w:ind w:left="0" w:leftChars="0" w:firstLine="0" w:firstLineChars="0"/>
        <w:rPr>
          <w:rFonts w:ascii="仿宋" w:hAnsi="仿宋" w:cs="仿宋"/>
          <w:lang w:eastAsia="zh-CN"/>
        </w:rPr>
      </w:pPr>
      <w:bookmarkStart w:id="13" w:name="_Toc9805"/>
      <w:r>
        <w:rPr>
          <w:rFonts w:hint="eastAsia" w:ascii="仿宋" w:hAnsi="仿宋" w:cs="仿宋"/>
          <w:lang w:val="en-US" w:eastAsia="zh-CN"/>
        </w:rPr>
        <w:t>十</w:t>
      </w:r>
      <w:r>
        <w:rPr>
          <w:rFonts w:hint="eastAsia" w:ascii="仿宋" w:hAnsi="仿宋" w:cs="仿宋"/>
          <w:lang w:eastAsia="zh-CN"/>
        </w:rPr>
        <w:t>、生态体系</w:t>
      </w:r>
      <w:bookmarkEnd w:id="13"/>
    </w:p>
    <w:p>
      <w:pPr>
        <w:pStyle w:val="13"/>
        <w:spacing w:before="312" w:beforeAutospacing="0" w:after="0" w:afterAutospacing="0" w:line="360" w:lineRule="auto"/>
        <w:ind w:firstLine="560" w:firstLineChars="200"/>
        <w:rPr>
          <w:rFonts w:hint="eastAsia" w:ascii="仿宋" w:hAnsi="仿宋" w:eastAsia="仿宋" w:cs="仿宋"/>
          <w:color w:val="000000" w:themeColor="text1"/>
          <w:kern w:val="2"/>
          <w:sz w:val="28"/>
          <w:szCs w:val="22"/>
          <w14:textFill>
            <w14:solidFill>
              <w14:schemeClr w14:val="tx1"/>
            </w14:solidFill>
          </w14:textFill>
        </w:rPr>
      </w:pPr>
      <w:r>
        <w:rPr>
          <w:rFonts w:hint="eastAsia" w:ascii="仿宋" w:hAnsi="仿宋" w:eastAsia="仿宋" w:cs="仿宋"/>
          <w:color w:val="000000" w:themeColor="text1"/>
          <w:kern w:val="2"/>
          <w:sz w:val="28"/>
          <w:szCs w:val="22"/>
          <w14:textFill>
            <w14:solidFill>
              <w14:schemeClr w14:val="tx1"/>
            </w14:solidFill>
          </w14:textFill>
        </w:rPr>
        <w:t>生态体系依据“两轴两带、三片三区”的风貌结构，引入外环绿带和周边生态片区的生态资源，结合城市绿廊，在区域内成环成网，整体形成生态片区包围城镇，生态绿廊贯穿城镇的生态构架。</w:t>
      </w:r>
    </w:p>
    <w:p>
      <w:pPr>
        <w:pStyle w:val="3"/>
        <w:ind w:left="0" w:leftChars="0" w:firstLine="0" w:firstLineChars="0"/>
        <w:rPr>
          <w:rFonts w:ascii="仿宋" w:hAnsi="仿宋" w:cs="仿宋"/>
          <w:lang w:eastAsia="zh-CN"/>
        </w:rPr>
      </w:pPr>
      <w:bookmarkStart w:id="14" w:name="_Toc29144"/>
      <w:r>
        <w:rPr>
          <w:rFonts w:hint="eastAsia" w:ascii="仿宋" w:hAnsi="仿宋" w:cs="仿宋"/>
          <w:lang w:eastAsia="zh-CN"/>
        </w:rPr>
        <w:t>十一、城市景观廊道与城市节点</w:t>
      </w:r>
      <w:bookmarkEnd w:id="14"/>
    </w:p>
    <w:p>
      <w:pPr>
        <w:pStyle w:val="13"/>
        <w:spacing w:before="312" w:beforeAutospacing="0" w:after="0" w:afterAutospacing="0" w:line="360" w:lineRule="auto"/>
        <w:ind w:firstLine="560" w:firstLineChars="200"/>
        <w:rPr>
          <w:rFonts w:hint="eastAsia" w:ascii="仿宋" w:hAnsi="仿宋" w:eastAsia="仿宋" w:cs="仿宋"/>
          <w:color w:val="000000" w:themeColor="text1"/>
          <w:kern w:val="2"/>
          <w:sz w:val="28"/>
          <w:szCs w:val="22"/>
          <w14:textFill>
            <w14:solidFill>
              <w14:schemeClr w14:val="tx1"/>
            </w14:solidFill>
          </w14:textFill>
        </w:rPr>
      </w:pPr>
      <w:r>
        <w:rPr>
          <w:rFonts w:hint="eastAsia" w:ascii="仿宋" w:hAnsi="仿宋" w:eastAsia="仿宋" w:cs="仿宋"/>
          <w:color w:val="000000" w:themeColor="text1"/>
          <w:kern w:val="2"/>
          <w:sz w:val="28"/>
          <w:szCs w:val="22"/>
          <w14:textFill>
            <w14:solidFill>
              <w14:schemeClr w14:val="tx1"/>
            </w14:solidFill>
          </w14:textFill>
        </w:rPr>
        <w:t>沿主要高快速路以及重要连通性道路形成城市景观廊道，起到串接核心区与区域内</w:t>
      </w:r>
      <w:r>
        <w:rPr>
          <w:rFonts w:hint="eastAsia" w:ascii="Times New Roman" w:hAnsi="Times New Roman" w:eastAsia="仿宋" w:cstheme="minorBidi"/>
          <w:color w:val="000000" w:themeColor="text1"/>
          <w:kern w:val="2"/>
          <w:sz w:val="28"/>
          <w:szCs w:val="22"/>
          <w14:textFill>
            <w14:solidFill>
              <w14:schemeClr w14:val="tx1"/>
            </w14:solidFill>
          </w14:textFill>
        </w:rPr>
        <w:t>主要生态绿地和开放空间的作用，同时作为赛达城区主要城市景观展示界面，结合城市节点形成对外展示的窗口。</w:t>
      </w:r>
    </w:p>
    <w:p>
      <w:pPr>
        <w:pStyle w:val="3"/>
        <w:ind w:left="0" w:leftChars="0" w:firstLine="0" w:firstLineChars="0"/>
        <w:rPr>
          <w:lang w:eastAsia="zh-CN"/>
        </w:rPr>
      </w:pPr>
      <w:bookmarkStart w:id="15" w:name="_Toc202"/>
      <w:r>
        <w:rPr>
          <w:rFonts w:hint="eastAsia"/>
          <w:lang w:val="en-US" w:eastAsia="zh-CN"/>
        </w:rPr>
        <w:t>十二、规划实施管理</w:t>
      </w:r>
      <w:r>
        <w:rPr>
          <w:rFonts w:hint="eastAsia"/>
          <w:lang w:eastAsia="zh-CN"/>
        </w:rPr>
        <w:t>指导</w:t>
      </w:r>
      <w:bookmarkEnd w:id="15"/>
    </w:p>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贯彻“将城市作为一个整体的艺术品打造”的指导思想，将城市风貌引导作为一个系统性工程，从宏观、中观到微观各个层面入手，进行层层设计指导。</w:t>
      </w:r>
    </w:p>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宏观上，加强城市设计引领，主动对标现代化国际都市，按照构建整体性、协调性及艺术性于一体的规划理念，提出城市整体风貌策略，进行系统性设计指导，引领城市风貌提升。</w:t>
      </w:r>
    </w:p>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中观上，结合区域功能特点，划分风貌分区，进一步优化城市天际线、协调建筑色彩，塑造错落有致、优美舒展的城市天际线，“雅致淡彩，津城风韵”的建筑色彩，提升城市品位与魅力。</w:t>
      </w:r>
    </w:p>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微观上，对重点区域的建筑风貌进行设计指导，展现津城西部城市中心的地域风貌特色，把每一栋建筑精雕细琢，确保匠心品质，不留历史遗憾，对建筑风格、色彩、材质等逐项把关，提升建筑格调。</w:t>
      </w:r>
    </w:p>
    <w:p>
      <w:pPr>
        <w:pStyle w:val="3"/>
        <w:ind w:left="0" w:leftChars="0" w:firstLine="0" w:firstLineChars="0"/>
        <w:rPr>
          <w:lang w:eastAsia="zh-CN"/>
        </w:rPr>
      </w:pPr>
      <w:bookmarkStart w:id="16" w:name="_Toc26202"/>
      <w:r>
        <w:rPr>
          <w:rFonts w:hint="eastAsia"/>
          <w:lang w:val="en-US" w:eastAsia="zh-CN"/>
        </w:rPr>
        <w:t>十三</w:t>
      </w:r>
      <w:r>
        <w:rPr>
          <w:rFonts w:hint="eastAsia"/>
          <w:lang w:eastAsia="zh-CN"/>
        </w:rPr>
        <w:t>、行动规划</w:t>
      </w:r>
      <w:bookmarkEnd w:id="16"/>
    </w:p>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充分利用津城南部产城示范区优越的自然资源，围绕“</w:t>
      </w:r>
      <w:r>
        <w:rPr>
          <w:rFonts w:hint="eastAsia"/>
        </w:rPr>
        <w:t>城南城、产业核、环生态、鱼米乡</w:t>
      </w:r>
      <w:r>
        <w:rPr>
          <w:rFonts w:hint="eastAsia"/>
          <w:color w:val="000000" w:themeColor="text1"/>
          <w14:textFill>
            <w14:solidFill>
              <w14:schemeClr w14:val="tx1"/>
            </w14:solidFill>
          </w14:textFill>
        </w:rPr>
        <w:t>“的目标愿景开展建设工作。立足三步走行动计划，使津城南部产城示范区的人居环境和旅游服务标准有较大提升，使津城南部产城示范区风貌特色初见成效。</w:t>
      </w:r>
    </w:p>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第一步，夯实基础、改善环境。深化落实规划设计，大力推进生态资源保护、景观整治、基础服务设施建设，开展津城南部产城示范区重点地区的美化运动，提升津城南部产城示范区的品牌效应。</w:t>
      </w:r>
    </w:p>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第二步，突出重点，提升品质。推进工程设计，开展重点地区开发建设，启动老旧小区和工业园区更新改造和环境整治，提升津城南部产城示范区环境质量。</w:t>
      </w:r>
    </w:p>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第三步，打造品牌、初见成效。持续推进重点地区建设，全面启动津城南部产城示范区风貌建设，形象大道、门户基本建成，人居环境较大改善，旅游设施及品牌有效提升。</w:t>
      </w:r>
    </w:p>
    <w:p>
      <w:pPr>
        <w:spacing w:line="360" w:lineRule="auto"/>
        <w:rPr>
          <w:color w:val="000000" w:themeColor="text1"/>
          <w14:textFill>
            <w14:solidFill>
              <w14:schemeClr w14:val="tx1"/>
            </w14:solidFill>
          </w14:textFill>
        </w:rPr>
      </w:pPr>
    </w:p>
    <w:p>
      <w:pPr>
        <w:spacing w:line="360" w:lineRule="auto"/>
        <w:ind w:left="0" w:leftChars="0" w:firstLine="0" w:firstLineChars="0"/>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ind w:left="0" w:leftChars="0" w:firstLine="0" w:firstLineChars="0"/>
        <w:rPr>
          <w:color w:val="000000" w:themeColor="text1"/>
          <w14:textFill>
            <w14:solidFill>
              <w14:schemeClr w14:val="tx1"/>
            </w14:solidFill>
          </w14:textFill>
        </w:rPr>
      </w:pPr>
    </w:p>
    <w:p>
      <w:pPr>
        <w:ind w:left="0" w:leftChars="0" w:firstLine="0" w:firstLineChars="0"/>
        <w:rPr>
          <w:color w:val="000000" w:themeColor="text1"/>
          <w14:textFill>
            <w14:solidFill>
              <w14:schemeClr w14:val="tx1"/>
            </w14:solidFill>
          </w14:textFill>
        </w:rPr>
      </w:pPr>
    </w:p>
    <w:p>
      <w:pPr>
        <w:ind w:left="0" w:leftChars="0" w:firstLine="0" w:firstLineChars="0"/>
        <w:rPr>
          <w:color w:val="000000" w:themeColor="text1"/>
          <w14:textFill>
            <w14:solidFill>
              <w14:schemeClr w14:val="tx1"/>
            </w14:solidFill>
          </w14:textFill>
        </w:rPr>
      </w:pPr>
    </w:p>
    <w:p>
      <w:pPr>
        <w:ind w:left="0" w:leftChars="0" w:firstLine="0" w:firstLineChars="0"/>
        <w:rPr>
          <w:color w:val="000000" w:themeColor="text1"/>
          <w14:textFill>
            <w14:solidFill>
              <w14:schemeClr w14:val="tx1"/>
            </w14:solidFill>
          </w14:textFill>
        </w:rPr>
      </w:pPr>
    </w:p>
    <w:p>
      <w:pPr>
        <w:ind w:left="0" w:leftChars="0" w:firstLine="0" w:firstLineChars="0"/>
        <w:rPr>
          <w:color w:val="000000" w:themeColor="text1"/>
          <w14:textFill>
            <w14:solidFill>
              <w14:schemeClr w14:val="tx1"/>
            </w14:solidFill>
          </w14:textFill>
        </w:rPr>
      </w:pPr>
    </w:p>
    <w:p>
      <w:pPr>
        <w:ind w:left="0" w:leftChars="0" w:firstLine="0" w:firstLineChars="0"/>
        <w:rPr>
          <w:color w:val="000000" w:themeColor="text1"/>
          <w14:textFill>
            <w14:solidFill>
              <w14:schemeClr w14:val="tx1"/>
            </w14:solidFill>
          </w14:textFill>
        </w:rPr>
      </w:pPr>
    </w:p>
    <w:p>
      <w:pPr>
        <w:ind w:left="0" w:leftChars="0" w:firstLine="0" w:firstLineChars="0"/>
        <w:rPr>
          <w:color w:val="000000" w:themeColor="text1"/>
          <w14:textFill>
            <w14:solidFill>
              <w14:schemeClr w14:val="tx1"/>
            </w14:solidFill>
          </w14:textFill>
        </w:rPr>
      </w:pPr>
    </w:p>
    <w:p>
      <w:pPr>
        <w:ind w:left="0" w:leftChars="0" w:firstLine="0" w:firstLineChars="0"/>
        <w:rPr>
          <w:color w:val="000000" w:themeColor="text1"/>
          <w14:textFill>
            <w14:solidFill>
              <w14:schemeClr w14:val="tx1"/>
            </w14:solidFill>
          </w14:textFill>
        </w:rPr>
      </w:pPr>
    </w:p>
    <w:p>
      <w:pPr>
        <w:ind w:left="0" w:leftChars="0" w:firstLine="0" w:firstLineChars="0"/>
        <w:rPr>
          <w:rFonts w:hint="eastAsia" w:eastAsia="仿宋"/>
          <w:color w:val="000000" w:themeColor="text1"/>
          <w:lang w:eastAsia="zh-CN"/>
          <w14:textFill>
            <w14:solidFill>
              <w14:schemeClr w14:val="tx1"/>
            </w14:solidFill>
          </w14:textFill>
        </w:rPr>
      </w:pPr>
      <w:r>
        <w:rPr>
          <w:rFonts w:hint="eastAsia" w:eastAsia="仿宋"/>
          <w:color w:val="000000" w:themeColor="text1"/>
          <w:lang w:eastAsia="zh-CN"/>
          <w14:textFill>
            <w14:solidFill>
              <w14:schemeClr w14:val="tx1"/>
            </w14:solidFill>
          </w14:textFill>
        </w:rPr>
        <w:drawing>
          <wp:inline distT="0" distB="0" distL="114300" distR="114300">
            <wp:extent cx="5272405" cy="7453630"/>
            <wp:effectExtent l="0" t="0" r="4445" b="13970"/>
            <wp:docPr id="1" name="图片 1" descr="01景观风貌结构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01景观风貌结构图"/>
                    <pic:cNvPicPr>
                      <a:picLocks noChangeAspect="true"/>
                    </pic:cNvPicPr>
                  </pic:nvPicPr>
                  <pic:blipFill>
                    <a:blip r:embed="rId8"/>
                    <a:stretch>
                      <a:fillRect/>
                    </a:stretch>
                  </pic:blipFill>
                  <pic:spPr>
                    <a:xfrm>
                      <a:off x="0" y="0"/>
                      <a:ext cx="5272405" cy="7453630"/>
                    </a:xfrm>
                    <a:prstGeom prst="rect">
                      <a:avLst/>
                    </a:prstGeom>
                  </pic:spPr>
                </pic:pic>
              </a:graphicData>
            </a:graphic>
          </wp:inline>
        </w:drawing>
      </w:r>
    </w:p>
    <w:p>
      <w:pPr>
        <w:ind w:left="0" w:leftChars="0" w:firstLine="0" w:firstLineChars="0"/>
        <w:rPr>
          <w:rFonts w:hint="eastAsia" w:eastAsia="仿宋"/>
          <w:color w:val="000000" w:themeColor="text1"/>
          <w:lang w:eastAsia="zh-CN"/>
          <w14:textFill>
            <w14:solidFill>
              <w14:schemeClr w14:val="tx1"/>
            </w14:solidFill>
          </w14:textFill>
        </w:rPr>
      </w:pPr>
      <w:r>
        <w:rPr>
          <w:rFonts w:hint="eastAsia" w:eastAsia="仿宋"/>
          <w:color w:val="000000" w:themeColor="text1"/>
          <w:lang w:eastAsia="zh-CN"/>
          <w14:textFill>
            <w14:solidFill>
              <w14:schemeClr w14:val="tx1"/>
            </w14:solidFill>
          </w14:textFill>
        </w:rPr>
        <w:drawing>
          <wp:inline distT="0" distB="0" distL="114300" distR="114300">
            <wp:extent cx="5272405" cy="7453630"/>
            <wp:effectExtent l="0" t="0" r="4445" b="13970"/>
            <wp:docPr id="2" name="图片 2" descr="02生态片区与生态绿廊规划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02生态片区与生态绿廊规划图"/>
                    <pic:cNvPicPr>
                      <a:picLocks noChangeAspect="true"/>
                    </pic:cNvPicPr>
                  </pic:nvPicPr>
                  <pic:blipFill>
                    <a:blip r:embed="rId9"/>
                    <a:stretch>
                      <a:fillRect/>
                    </a:stretch>
                  </pic:blipFill>
                  <pic:spPr>
                    <a:xfrm>
                      <a:off x="0" y="0"/>
                      <a:ext cx="5272405" cy="7453630"/>
                    </a:xfrm>
                    <a:prstGeom prst="rect">
                      <a:avLst/>
                    </a:prstGeom>
                  </pic:spPr>
                </pic:pic>
              </a:graphicData>
            </a:graphic>
          </wp:inline>
        </w:drawing>
      </w:r>
    </w:p>
    <w:p>
      <w:pPr>
        <w:ind w:left="0" w:leftChars="0" w:firstLine="0" w:firstLineChars="0"/>
        <w:rPr>
          <w:rFonts w:hint="eastAsia" w:eastAsia="仿宋"/>
          <w:color w:val="000000" w:themeColor="text1"/>
          <w:lang w:eastAsia="zh-CN"/>
          <w14:textFill>
            <w14:solidFill>
              <w14:schemeClr w14:val="tx1"/>
            </w14:solidFill>
          </w14:textFill>
        </w:rPr>
      </w:pPr>
      <w:r>
        <w:rPr>
          <w:rFonts w:hint="eastAsia" w:eastAsia="仿宋"/>
          <w:color w:val="000000" w:themeColor="text1"/>
          <w:lang w:eastAsia="zh-CN"/>
          <w14:textFill>
            <w14:solidFill>
              <w14:schemeClr w14:val="tx1"/>
            </w14:solidFill>
          </w14:textFill>
        </w:rPr>
        <w:drawing>
          <wp:inline distT="0" distB="0" distL="114300" distR="114300">
            <wp:extent cx="5272405" cy="7453630"/>
            <wp:effectExtent l="0" t="0" r="4445" b="13970"/>
            <wp:docPr id="3" name="图片 3" descr="03区域风貌分区规划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03区域风貌分区规划图"/>
                    <pic:cNvPicPr>
                      <a:picLocks noChangeAspect="true"/>
                    </pic:cNvPicPr>
                  </pic:nvPicPr>
                  <pic:blipFill>
                    <a:blip r:embed="rId10"/>
                    <a:stretch>
                      <a:fillRect/>
                    </a:stretch>
                  </pic:blipFill>
                  <pic:spPr>
                    <a:xfrm>
                      <a:off x="0" y="0"/>
                      <a:ext cx="5272405" cy="7453630"/>
                    </a:xfrm>
                    <a:prstGeom prst="rect">
                      <a:avLst/>
                    </a:prstGeom>
                  </pic:spPr>
                </pic:pic>
              </a:graphicData>
            </a:graphic>
          </wp:inline>
        </w:drawing>
      </w:r>
    </w:p>
    <w:p>
      <w:pPr>
        <w:ind w:left="0" w:leftChars="0" w:firstLine="0" w:firstLineChars="0"/>
        <w:rPr>
          <w:rFonts w:hint="eastAsia" w:eastAsia="仿宋"/>
          <w:color w:val="000000" w:themeColor="text1"/>
          <w:lang w:eastAsia="zh-CN"/>
          <w14:textFill>
            <w14:solidFill>
              <w14:schemeClr w14:val="tx1"/>
            </w14:solidFill>
          </w14:textFill>
        </w:rPr>
      </w:pPr>
    </w:p>
    <w:p>
      <w:pPr>
        <w:ind w:firstLine="0" w:firstLineChars="0"/>
        <w:jc w:val="center"/>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ind w:firstLine="0" w:firstLineChars="0"/>
        <w:rPr>
          <w:rFonts w:hint="eastAsia" w:eastAsia="仿宋"/>
          <w:color w:val="000000" w:themeColor="text1"/>
          <w:lang w:eastAsia="zh-CN"/>
          <w14:textFill>
            <w14:solidFill>
              <w14:schemeClr w14:val="tx1"/>
            </w14:solidFill>
          </w14:textFill>
        </w:rPr>
      </w:pPr>
      <w:r>
        <w:rPr>
          <w:rFonts w:hint="eastAsia" w:eastAsia="仿宋"/>
          <w:color w:val="000000" w:themeColor="text1"/>
          <w:lang w:eastAsia="zh-CN"/>
          <w14:textFill>
            <w14:solidFill>
              <w14:schemeClr w14:val="tx1"/>
            </w14:solidFill>
          </w14:textFill>
        </w:rPr>
        <w:drawing>
          <wp:inline distT="0" distB="0" distL="114300" distR="114300">
            <wp:extent cx="5272405" cy="7453630"/>
            <wp:effectExtent l="0" t="0" r="4445" b="13970"/>
            <wp:docPr id="4" name="图片 4" descr="04城市景观廊道与城市节点规划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04城市景观廊道与城市节点规划图"/>
                    <pic:cNvPicPr>
                      <a:picLocks noChangeAspect="true"/>
                    </pic:cNvPicPr>
                  </pic:nvPicPr>
                  <pic:blipFill>
                    <a:blip r:embed="rId11"/>
                    <a:stretch>
                      <a:fillRect/>
                    </a:stretch>
                  </pic:blipFill>
                  <pic:spPr>
                    <a:xfrm>
                      <a:off x="0" y="0"/>
                      <a:ext cx="5272405" cy="7453630"/>
                    </a:xfrm>
                    <a:prstGeom prst="rect">
                      <a:avLst/>
                    </a:prstGeom>
                  </pic:spPr>
                </pic:pic>
              </a:graphicData>
            </a:graphic>
          </wp:inline>
        </w:drawing>
      </w:r>
    </w:p>
    <w:sectPr>
      <w:headerReference r:id="rId5" w:type="default"/>
      <w:footerReference r:id="rId6" w:type="default"/>
      <w:type w:val="continuous"/>
      <w:pgSz w:w="11906" w:h="16838"/>
      <w:pgMar w:top="1440" w:right="1800" w:bottom="1440" w:left="1800" w:header="851" w:footer="992" w:gutter="0"/>
      <w:pgNumType w:start="1"/>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s>
  <wne:acds>
    <wne:acd wne:argValue="AQAAAAE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
    <w:panose1 w:val="02010609060101010101"/>
    <w:charset w:val="86"/>
    <w:family w:val="modern"/>
    <w:pitch w:val="default"/>
    <w:sig w:usb0="800002BF" w:usb1="38CF7CFA" w:usb2="00000016" w:usb3="00000000" w:csb0="00040001" w:csb1="00000000"/>
  </w:font>
  <w:font w:name="微软雅黑">
    <w:altName w:val="黑体"/>
    <w:panose1 w:val="020B0503020204020204"/>
    <w:charset w:val="86"/>
    <w:family w:val="swiss"/>
    <w:pitch w:val="default"/>
    <w:sig w:usb0="00000000" w:usb1="00000000"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等线">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等线 Light">
    <w:altName w:val="汉仪仿宋S"/>
    <w:panose1 w:val="00000000000000000000"/>
    <w:charset w:val="00"/>
    <w:family w:val="auto"/>
    <w:pitch w:val="default"/>
    <w:sig w:usb0="00000000" w:usb1="00000000" w:usb2="00000000" w:usb3="00000000" w:csb0="00000000" w:csb1="00000000"/>
  </w:font>
  <w:font w:name="汉仪仿宋S">
    <w:panose1 w:val="00020600040101000101"/>
    <w:charset w:val="86"/>
    <w:family w:val="auto"/>
    <w:pitch w:val="default"/>
    <w:sig w:usb0="A00002BF" w:usb1="38CF7CFA" w:usb2="00000016"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7368839"/>
    </w:sdtPr>
    <w:sdtContent>
      <w:p>
        <w:pPr>
          <w:pStyle w:val="9"/>
          <w:ind w:firstLine="360"/>
          <w:jc w:val="center"/>
        </w:pPr>
        <w:r>
          <w:fldChar w:fldCharType="begin"/>
        </w:r>
        <w:r>
          <w:instrText xml:space="preserve">PAGE   \* MERGEFORMAT</w:instrText>
        </w:r>
        <w:r>
          <w:fldChar w:fldCharType="separate"/>
        </w:r>
        <w:r>
          <w:rPr>
            <w:lang w:val="zh-CN"/>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right"/>
    </w:pPr>
    <w:r>
      <w:rPr>
        <w:rFonts w:hint="eastAsia"/>
      </w:rPr>
      <w:t>天津市西青区津城南部产城示范区总体城市设计与特色风貌专项规划（2</w:t>
    </w:r>
    <w:r>
      <w:t>021</w:t>
    </w:r>
    <w:r>
      <w:rPr>
        <w:rFonts w:hint="eastAsia"/>
      </w:rPr>
      <w:t>—2</w:t>
    </w:r>
    <w:r>
      <w:t>035</w:t>
    </w:r>
    <w:r>
      <w:rPr>
        <w:rFonts w:hint="eastAsia"/>
      </w:rPr>
      <w:t>年）</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documentProtection w:enforcement="0"/>
  <w:defaultTabStop w:val="420"/>
  <w:drawingGridVerticalSpacing w:val="156"/>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wMjE4Y2ExODk2YzYzYmE4OWU0MzFkZjNmNTg3ODEifQ=="/>
  </w:docVars>
  <w:rsids>
    <w:rsidRoot w:val="004441EC"/>
    <w:rsid w:val="00002D8F"/>
    <w:rsid w:val="0000362A"/>
    <w:rsid w:val="0001017A"/>
    <w:rsid w:val="0001017D"/>
    <w:rsid w:val="000125F6"/>
    <w:rsid w:val="00012D74"/>
    <w:rsid w:val="00013625"/>
    <w:rsid w:val="00017328"/>
    <w:rsid w:val="00017A86"/>
    <w:rsid w:val="0002059E"/>
    <w:rsid w:val="0002484F"/>
    <w:rsid w:val="00024E3E"/>
    <w:rsid w:val="00037134"/>
    <w:rsid w:val="000372EA"/>
    <w:rsid w:val="00042FAF"/>
    <w:rsid w:val="00045BF7"/>
    <w:rsid w:val="0005080B"/>
    <w:rsid w:val="0005300A"/>
    <w:rsid w:val="00056CC1"/>
    <w:rsid w:val="000614BE"/>
    <w:rsid w:val="00061C54"/>
    <w:rsid w:val="00064800"/>
    <w:rsid w:val="00064AC5"/>
    <w:rsid w:val="00065550"/>
    <w:rsid w:val="000661F1"/>
    <w:rsid w:val="00077460"/>
    <w:rsid w:val="00077DEC"/>
    <w:rsid w:val="000802D8"/>
    <w:rsid w:val="00082104"/>
    <w:rsid w:val="00082F03"/>
    <w:rsid w:val="000842B6"/>
    <w:rsid w:val="00084705"/>
    <w:rsid w:val="000871D8"/>
    <w:rsid w:val="00087705"/>
    <w:rsid w:val="00094C9B"/>
    <w:rsid w:val="000A398E"/>
    <w:rsid w:val="000A5A94"/>
    <w:rsid w:val="000A779B"/>
    <w:rsid w:val="000B2722"/>
    <w:rsid w:val="000C4D27"/>
    <w:rsid w:val="000D33DB"/>
    <w:rsid w:val="000D5C52"/>
    <w:rsid w:val="000E2D36"/>
    <w:rsid w:val="000E5FBA"/>
    <w:rsid w:val="000F6F05"/>
    <w:rsid w:val="00102646"/>
    <w:rsid w:val="00103587"/>
    <w:rsid w:val="001157C6"/>
    <w:rsid w:val="00125286"/>
    <w:rsid w:val="00137208"/>
    <w:rsid w:val="00142B8F"/>
    <w:rsid w:val="0014506A"/>
    <w:rsid w:val="00150187"/>
    <w:rsid w:val="00151CA9"/>
    <w:rsid w:val="00152834"/>
    <w:rsid w:val="001549A9"/>
    <w:rsid w:val="001575E1"/>
    <w:rsid w:val="001645CD"/>
    <w:rsid w:val="0016471E"/>
    <w:rsid w:val="00167216"/>
    <w:rsid w:val="001709C3"/>
    <w:rsid w:val="00193499"/>
    <w:rsid w:val="00194598"/>
    <w:rsid w:val="001947F2"/>
    <w:rsid w:val="001A400A"/>
    <w:rsid w:val="001B4A6E"/>
    <w:rsid w:val="001C0AB6"/>
    <w:rsid w:val="001C6E1B"/>
    <w:rsid w:val="001C7C4E"/>
    <w:rsid w:val="001D61ED"/>
    <w:rsid w:val="001E62BD"/>
    <w:rsid w:val="001F24E3"/>
    <w:rsid w:val="001F2C5E"/>
    <w:rsid w:val="0020452D"/>
    <w:rsid w:val="00205C1D"/>
    <w:rsid w:val="0020679B"/>
    <w:rsid w:val="002119B8"/>
    <w:rsid w:val="00213A54"/>
    <w:rsid w:val="002172D8"/>
    <w:rsid w:val="0022569C"/>
    <w:rsid w:val="00226D30"/>
    <w:rsid w:val="00230607"/>
    <w:rsid w:val="00232FF6"/>
    <w:rsid w:val="00233E13"/>
    <w:rsid w:val="00237EBD"/>
    <w:rsid w:val="00240318"/>
    <w:rsid w:val="00242F03"/>
    <w:rsid w:val="00270FE1"/>
    <w:rsid w:val="00272FE6"/>
    <w:rsid w:val="00277A0C"/>
    <w:rsid w:val="002806EC"/>
    <w:rsid w:val="002814E8"/>
    <w:rsid w:val="00281A7D"/>
    <w:rsid w:val="002B0635"/>
    <w:rsid w:val="002B4E4F"/>
    <w:rsid w:val="002B60DC"/>
    <w:rsid w:val="002B677D"/>
    <w:rsid w:val="002C362B"/>
    <w:rsid w:val="002C37E2"/>
    <w:rsid w:val="002C6783"/>
    <w:rsid w:val="002C7C51"/>
    <w:rsid w:val="002D023C"/>
    <w:rsid w:val="002D0812"/>
    <w:rsid w:val="002D1284"/>
    <w:rsid w:val="002D6A4F"/>
    <w:rsid w:val="002D73B3"/>
    <w:rsid w:val="002D7F5B"/>
    <w:rsid w:val="002E390E"/>
    <w:rsid w:val="002E49A8"/>
    <w:rsid w:val="00301B5A"/>
    <w:rsid w:val="00302054"/>
    <w:rsid w:val="00306097"/>
    <w:rsid w:val="00310730"/>
    <w:rsid w:val="00316E77"/>
    <w:rsid w:val="00317218"/>
    <w:rsid w:val="003212DA"/>
    <w:rsid w:val="003231BF"/>
    <w:rsid w:val="00323765"/>
    <w:rsid w:val="003239DC"/>
    <w:rsid w:val="00325FB6"/>
    <w:rsid w:val="00326FDE"/>
    <w:rsid w:val="00331113"/>
    <w:rsid w:val="00334483"/>
    <w:rsid w:val="00346608"/>
    <w:rsid w:val="003467C6"/>
    <w:rsid w:val="00362B8C"/>
    <w:rsid w:val="00365683"/>
    <w:rsid w:val="00372948"/>
    <w:rsid w:val="00373647"/>
    <w:rsid w:val="00385949"/>
    <w:rsid w:val="0038678E"/>
    <w:rsid w:val="00387DC8"/>
    <w:rsid w:val="0039436F"/>
    <w:rsid w:val="0039645E"/>
    <w:rsid w:val="00397051"/>
    <w:rsid w:val="003A035D"/>
    <w:rsid w:val="003A55E4"/>
    <w:rsid w:val="003B0E27"/>
    <w:rsid w:val="003B1C3B"/>
    <w:rsid w:val="003C6533"/>
    <w:rsid w:val="003E06DC"/>
    <w:rsid w:val="003E2F7B"/>
    <w:rsid w:val="003E3C20"/>
    <w:rsid w:val="003E4D9E"/>
    <w:rsid w:val="003E5B9E"/>
    <w:rsid w:val="003E6FF1"/>
    <w:rsid w:val="003F2A3F"/>
    <w:rsid w:val="00400CF0"/>
    <w:rsid w:val="0040246A"/>
    <w:rsid w:val="00407FCC"/>
    <w:rsid w:val="0041184C"/>
    <w:rsid w:val="004168E2"/>
    <w:rsid w:val="004177DE"/>
    <w:rsid w:val="0043021C"/>
    <w:rsid w:val="00434BBF"/>
    <w:rsid w:val="00434D48"/>
    <w:rsid w:val="0043795A"/>
    <w:rsid w:val="00441139"/>
    <w:rsid w:val="00442B02"/>
    <w:rsid w:val="004441EC"/>
    <w:rsid w:val="004473E2"/>
    <w:rsid w:val="0045022B"/>
    <w:rsid w:val="00451CAF"/>
    <w:rsid w:val="0045309A"/>
    <w:rsid w:val="00457052"/>
    <w:rsid w:val="00460455"/>
    <w:rsid w:val="00461FA0"/>
    <w:rsid w:val="0046305E"/>
    <w:rsid w:val="00474714"/>
    <w:rsid w:val="004811C5"/>
    <w:rsid w:val="004820E5"/>
    <w:rsid w:val="00484AF9"/>
    <w:rsid w:val="004867A2"/>
    <w:rsid w:val="004A2471"/>
    <w:rsid w:val="004B221D"/>
    <w:rsid w:val="004B6B4D"/>
    <w:rsid w:val="004B74CA"/>
    <w:rsid w:val="004C0E91"/>
    <w:rsid w:val="004D4492"/>
    <w:rsid w:val="004E27A0"/>
    <w:rsid w:val="004E6E9B"/>
    <w:rsid w:val="004F01EA"/>
    <w:rsid w:val="004F38FD"/>
    <w:rsid w:val="005103A7"/>
    <w:rsid w:val="00511301"/>
    <w:rsid w:val="005160FB"/>
    <w:rsid w:val="00517EF2"/>
    <w:rsid w:val="00523EB0"/>
    <w:rsid w:val="005408B2"/>
    <w:rsid w:val="005464EE"/>
    <w:rsid w:val="00546CFF"/>
    <w:rsid w:val="005507DB"/>
    <w:rsid w:val="0055274A"/>
    <w:rsid w:val="00570852"/>
    <w:rsid w:val="00575874"/>
    <w:rsid w:val="00582E09"/>
    <w:rsid w:val="00585089"/>
    <w:rsid w:val="00595177"/>
    <w:rsid w:val="00595EB5"/>
    <w:rsid w:val="00596B95"/>
    <w:rsid w:val="005A5160"/>
    <w:rsid w:val="005B1237"/>
    <w:rsid w:val="005B5548"/>
    <w:rsid w:val="005B6116"/>
    <w:rsid w:val="005C1E83"/>
    <w:rsid w:val="005C2097"/>
    <w:rsid w:val="005C2C56"/>
    <w:rsid w:val="005D0585"/>
    <w:rsid w:val="005D328C"/>
    <w:rsid w:val="005D5692"/>
    <w:rsid w:val="005D59BF"/>
    <w:rsid w:val="005D5B98"/>
    <w:rsid w:val="005E070A"/>
    <w:rsid w:val="005E6BD5"/>
    <w:rsid w:val="005F0005"/>
    <w:rsid w:val="005F0C0E"/>
    <w:rsid w:val="005F49EE"/>
    <w:rsid w:val="005F571B"/>
    <w:rsid w:val="005F606A"/>
    <w:rsid w:val="00600B33"/>
    <w:rsid w:val="00603F41"/>
    <w:rsid w:val="00612652"/>
    <w:rsid w:val="00616D38"/>
    <w:rsid w:val="00627877"/>
    <w:rsid w:val="006364B3"/>
    <w:rsid w:val="00642DE9"/>
    <w:rsid w:val="00650752"/>
    <w:rsid w:val="00653423"/>
    <w:rsid w:val="00662665"/>
    <w:rsid w:val="0066581F"/>
    <w:rsid w:val="00672E4C"/>
    <w:rsid w:val="00677A47"/>
    <w:rsid w:val="00677DD6"/>
    <w:rsid w:val="006871F6"/>
    <w:rsid w:val="00687A2B"/>
    <w:rsid w:val="00693227"/>
    <w:rsid w:val="00696AB5"/>
    <w:rsid w:val="006A1896"/>
    <w:rsid w:val="006A2253"/>
    <w:rsid w:val="006A3BC1"/>
    <w:rsid w:val="006B0A98"/>
    <w:rsid w:val="006B3211"/>
    <w:rsid w:val="006B55FE"/>
    <w:rsid w:val="006C09EB"/>
    <w:rsid w:val="006C1C16"/>
    <w:rsid w:val="006C28B7"/>
    <w:rsid w:val="006C4258"/>
    <w:rsid w:val="006D0FE0"/>
    <w:rsid w:val="006D210C"/>
    <w:rsid w:val="006D3AD8"/>
    <w:rsid w:val="006D42A7"/>
    <w:rsid w:val="006D4E5C"/>
    <w:rsid w:val="006E12A8"/>
    <w:rsid w:val="006E1D39"/>
    <w:rsid w:val="006E2417"/>
    <w:rsid w:val="006E64B2"/>
    <w:rsid w:val="006F3BE6"/>
    <w:rsid w:val="006F68D9"/>
    <w:rsid w:val="00710618"/>
    <w:rsid w:val="00710E14"/>
    <w:rsid w:val="00712765"/>
    <w:rsid w:val="00714BA1"/>
    <w:rsid w:val="007218EF"/>
    <w:rsid w:val="00722D99"/>
    <w:rsid w:val="007255FA"/>
    <w:rsid w:val="00731677"/>
    <w:rsid w:val="00733C9E"/>
    <w:rsid w:val="00736CDC"/>
    <w:rsid w:val="00744930"/>
    <w:rsid w:val="00747066"/>
    <w:rsid w:val="0075776B"/>
    <w:rsid w:val="00762778"/>
    <w:rsid w:val="00771AF5"/>
    <w:rsid w:val="007728F5"/>
    <w:rsid w:val="00777478"/>
    <w:rsid w:val="00782869"/>
    <w:rsid w:val="007871B7"/>
    <w:rsid w:val="00793B2C"/>
    <w:rsid w:val="00794A59"/>
    <w:rsid w:val="00795FDA"/>
    <w:rsid w:val="007972D2"/>
    <w:rsid w:val="00797B6A"/>
    <w:rsid w:val="007B0E87"/>
    <w:rsid w:val="007B2E32"/>
    <w:rsid w:val="007B7410"/>
    <w:rsid w:val="007C1064"/>
    <w:rsid w:val="007C2587"/>
    <w:rsid w:val="007D1E62"/>
    <w:rsid w:val="007E2FD2"/>
    <w:rsid w:val="007F33ED"/>
    <w:rsid w:val="00801376"/>
    <w:rsid w:val="00810C42"/>
    <w:rsid w:val="0081128A"/>
    <w:rsid w:val="00812ECA"/>
    <w:rsid w:val="00814A46"/>
    <w:rsid w:val="00816239"/>
    <w:rsid w:val="0081679E"/>
    <w:rsid w:val="0082279E"/>
    <w:rsid w:val="008257CB"/>
    <w:rsid w:val="00830381"/>
    <w:rsid w:val="00832131"/>
    <w:rsid w:val="00840E57"/>
    <w:rsid w:val="00847BD0"/>
    <w:rsid w:val="00861F57"/>
    <w:rsid w:val="008633DC"/>
    <w:rsid w:val="00866DDF"/>
    <w:rsid w:val="00874EA1"/>
    <w:rsid w:val="00875C16"/>
    <w:rsid w:val="0087697C"/>
    <w:rsid w:val="00881AAB"/>
    <w:rsid w:val="008B116D"/>
    <w:rsid w:val="008B1A44"/>
    <w:rsid w:val="008B2AB4"/>
    <w:rsid w:val="008B3573"/>
    <w:rsid w:val="008B60C4"/>
    <w:rsid w:val="008C064E"/>
    <w:rsid w:val="008C5F91"/>
    <w:rsid w:val="008D4F8F"/>
    <w:rsid w:val="008E30CC"/>
    <w:rsid w:val="008F0234"/>
    <w:rsid w:val="008F371F"/>
    <w:rsid w:val="008F410A"/>
    <w:rsid w:val="009037DE"/>
    <w:rsid w:val="00907E86"/>
    <w:rsid w:val="00923CF0"/>
    <w:rsid w:val="009315BA"/>
    <w:rsid w:val="009326D6"/>
    <w:rsid w:val="00932C83"/>
    <w:rsid w:val="009356F5"/>
    <w:rsid w:val="00942449"/>
    <w:rsid w:val="00946269"/>
    <w:rsid w:val="00946F7A"/>
    <w:rsid w:val="00947B91"/>
    <w:rsid w:val="0095152D"/>
    <w:rsid w:val="00955B3A"/>
    <w:rsid w:val="0095795A"/>
    <w:rsid w:val="00962931"/>
    <w:rsid w:val="00980439"/>
    <w:rsid w:val="009821C2"/>
    <w:rsid w:val="00985252"/>
    <w:rsid w:val="00992694"/>
    <w:rsid w:val="009B13D4"/>
    <w:rsid w:val="009B1A98"/>
    <w:rsid w:val="009C058F"/>
    <w:rsid w:val="009C325F"/>
    <w:rsid w:val="009C442E"/>
    <w:rsid w:val="009C5C45"/>
    <w:rsid w:val="009D2F4A"/>
    <w:rsid w:val="009D4E85"/>
    <w:rsid w:val="009E1720"/>
    <w:rsid w:val="009E27C4"/>
    <w:rsid w:val="009F28EC"/>
    <w:rsid w:val="009F690B"/>
    <w:rsid w:val="00A011B9"/>
    <w:rsid w:val="00A013B8"/>
    <w:rsid w:val="00A11E66"/>
    <w:rsid w:val="00A123A1"/>
    <w:rsid w:val="00A15FDF"/>
    <w:rsid w:val="00A308FC"/>
    <w:rsid w:val="00A328BF"/>
    <w:rsid w:val="00A35A50"/>
    <w:rsid w:val="00A42F2E"/>
    <w:rsid w:val="00A4408D"/>
    <w:rsid w:val="00A445C2"/>
    <w:rsid w:val="00A4522A"/>
    <w:rsid w:val="00A4570A"/>
    <w:rsid w:val="00A50129"/>
    <w:rsid w:val="00A52597"/>
    <w:rsid w:val="00A642F7"/>
    <w:rsid w:val="00A73920"/>
    <w:rsid w:val="00A753B0"/>
    <w:rsid w:val="00A80219"/>
    <w:rsid w:val="00A82BAA"/>
    <w:rsid w:val="00A87EF8"/>
    <w:rsid w:val="00A9067F"/>
    <w:rsid w:val="00A9560E"/>
    <w:rsid w:val="00AB0E76"/>
    <w:rsid w:val="00AB207B"/>
    <w:rsid w:val="00AB2438"/>
    <w:rsid w:val="00AC205F"/>
    <w:rsid w:val="00AD1540"/>
    <w:rsid w:val="00AD2282"/>
    <w:rsid w:val="00AD4A47"/>
    <w:rsid w:val="00AE774D"/>
    <w:rsid w:val="00AF44E8"/>
    <w:rsid w:val="00AF48B2"/>
    <w:rsid w:val="00AF5C8D"/>
    <w:rsid w:val="00B01BDA"/>
    <w:rsid w:val="00B034D1"/>
    <w:rsid w:val="00B049AF"/>
    <w:rsid w:val="00B07CE4"/>
    <w:rsid w:val="00B1238E"/>
    <w:rsid w:val="00B1612B"/>
    <w:rsid w:val="00B1661A"/>
    <w:rsid w:val="00B16A68"/>
    <w:rsid w:val="00B17E47"/>
    <w:rsid w:val="00B21FEE"/>
    <w:rsid w:val="00B22325"/>
    <w:rsid w:val="00B2435E"/>
    <w:rsid w:val="00B30E82"/>
    <w:rsid w:val="00B31B7B"/>
    <w:rsid w:val="00B32568"/>
    <w:rsid w:val="00B343A9"/>
    <w:rsid w:val="00B34429"/>
    <w:rsid w:val="00B34CCD"/>
    <w:rsid w:val="00B35B99"/>
    <w:rsid w:val="00B36950"/>
    <w:rsid w:val="00B40C80"/>
    <w:rsid w:val="00B42DFF"/>
    <w:rsid w:val="00B50B43"/>
    <w:rsid w:val="00B52B62"/>
    <w:rsid w:val="00B53B6C"/>
    <w:rsid w:val="00B54F83"/>
    <w:rsid w:val="00B60AEE"/>
    <w:rsid w:val="00B644B5"/>
    <w:rsid w:val="00B6665A"/>
    <w:rsid w:val="00B668EA"/>
    <w:rsid w:val="00B671D9"/>
    <w:rsid w:val="00B73148"/>
    <w:rsid w:val="00B748BB"/>
    <w:rsid w:val="00B77C84"/>
    <w:rsid w:val="00B86975"/>
    <w:rsid w:val="00B874F4"/>
    <w:rsid w:val="00B91E96"/>
    <w:rsid w:val="00B962F4"/>
    <w:rsid w:val="00B97BCA"/>
    <w:rsid w:val="00BA7C03"/>
    <w:rsid w:val="00BC256C"/>
    <w:rsid w:val="00BC581E"/>
    <w:rsid w:val="00BD19A6"/>
    <w:rsid w:val="00BE01C6"/>
    <w:rsid w:val="00BF1198"/>
    <w:rsid w:val="00BF14CF"/>
    <w:rsid w:val="00BF1EBC"/>
    <w:rsid w:val="00BF323F"/>
    <w:rsid w:val="00C0034E"/>
    <w:rsid w:val="00C024CB"/>
    <w:rsid w:val="00C04C2D"/>
    <w:rsid w:val="00C1007D"/>
    <w:rsid w:val="00C1311F"/>
    <w:rsid w:val="00C140DE"/>
    <w:rsid w:val="00C15CFF"/>
    <w:rsid w:val="00C21130"/>
    <w:rsid w:val="00C255F5"/>
    <w:rsid w:val="00C2593E"/>
    <w:rsid w:val="00C2629F"/>
    <w:rsid w:val="00C45C86"/>
    <w:rsid w:val="00C476C0"/>
    <w:rsid w:val="00C523A5"/>
    <w:rsid w:val="00C562AD"/>
    <w:rsid w:val="00C63996"/>
    <w:rsid w:val="00C64475"/>
    <w:rsid w:val="00C64956"/>
    <w:rsid w:val="00C71DEC"/>
    <w:rsid w:val="00C75E96"/>
    <w:rsid w:val="00C7713B"/>
    <w:rsid w:val="00C814D6"/>
    <w:rsid w:val="00C8307E"/>
    <w:rsid w:val="00C9020A"/>
    <w:rsid w:val="00C9377E"/>
    <w:rsid w:val="00CA0B64"/>
    <w:rsid w:val="00CA1253"/>
    <w:rsid w:val="00CA2829"/>
    <w:rsid w:val="00CA6226"/>
    <w:rsid w:val="00CB44D1"/>
    <w:rsid w:val="00CC0F05"/>
    <w:rsid w:val="00CC1326"/>
    <w:rsid w:val="00CC47A0"/>
    <w:rsid w:val="00CC52C4"/>
    <w:rsid w:val="00CC7160"/>
    <w:rsid w:val="00CC7CDB"/>
    <w:rsid w:val="00CD2B7F"/>
    <w:rsid w:val="00CD520D"/>
    <w:rsid w:val="00CE298F"/>
    <w:rsid w:val="00CE61A1"/>
    <w:rsid w:val="00CF04C5"/>
    <w:rsid w:val="00CF243D"/>
    <w:rsid w:val="00CF35C5"/>
    <w:rsid w:val="00CF6B90"/>
    <w:rsid w:val="00D02698"/>
    <w:rsid w:val="00D064A0"/>
    <w:rsid w:val="00D06F76"/>
    <w:rsid w:val="00D1068C"/>
    <w:rsid w:val="00D17D9A"/>
    <w:rsid w:val="00D25D24"/>
    <w:rsid w:val="00D31275"/>
    <w:rsid w:val="00D31F11"/>
    <w:rsid w:val="00D32883"/>
    <w:rsid w:val="00D33DE9"/>
    <w:rsid w:val="00D35714"/>
    <w:rsid w:val="00D36407"/>
    <w:rsid w:val="00D37A47"/>
    <w:rsid w:val="00D4243A"/>
    <w:rsid w:val="00D43DB9"/>
    <w:rsid w:val="00D45621"/>
    <w:rsid w:val="00D458B0"/>
    <w:rsid w:val="00D47BF8"/>
    <w:rsid w:val="00D636A2"/>
    <w:rsid w:val="00D66A3E"/>
    <w:rsid w:val="00D671B4"/>
    <w:rsid w:val="00D77225"/>
    <w:rsid w:val="00D84D6E"/>
    <w:rsid w:val="00D90806"/>
    <w:rsid w:val="00D92CB7"/>
    <w:rsid w:val="00D971D2"/>
    <w:rsid w:val="00D97518"/>
    <w:rsid w:val="00DA5643"/>
    <w:rsid w:val="00DA7B13"/>
    <w:rsid w:val="00DB0ABA"/>
    <w:rsid w:val="00DB2319"/>
    <w:rsid w:val="00DB3667"/>
    <w:rsid w:val="00DB430E"/>
    <w:rsid w:val="00DB6FA0"/>
    <w:rsid w:val="00DC14AD"/>
    <w:rsid w:val="00DC6DE5"/>
    <w:rsid w:val="00DD5CA5"/>
    <w:rsid w:val="00DD77FA"/>
    <w:rsid w:val="00DE5A47"/>
    <w:rsid w:val="00DE70A8"/>
    <w:rsid w:val="00DF0A2D"/>
    <w:rsid w:val="00DF6052"/>
    <w:rsid w:val="00E029D7"/>
    <w:rsid w:val="00E070CB"/>
    <w:rsid w:val="00E109F5"/>
    <w:rsid w:val="00E13B58"/>
    <w:rsid w:val="00E163C4"/>
    <w:rsid w:val="00E21799"/>
    <w:rsid w:val="00E23223"/>
    <w:rsid w:val="00E24B3F"/>
    <w:rsid w:val="00E24BEF"/>
    <w:rsid w:val="00E3002E"/>
    <w:rsid w:val="00E37F6C"/>
    <w:rsid w:val="00E41A17"/>
    <w:rsid w:val="00E42A30"/>
    <w:rsid w:val="00E4584A"/>
    <w:rsid w:val="00E46C0A"/>
    <w:rsid w:val="00E46D78"/>
    <w:rsid w:val="00E55457"/>
    <w:rsid w:val="00E60564"/>
    <w:rsid w:val="00E6167F"/>
    <w:rsid w:val="00E71EA6"/>
    <w:rsid w:val="00E7340F"/>
    <w:rsid w:val="00E74E1A"/>
    <w:rsid w:val="00E76696"/>
    <w:rsid w:val="00E76D01"/>
    <w:rsid w:val="00E76E8F"/>
    <w:rsid w:val="00E8089C"/>
    <w:rsid w:val="00E81740"/>
    <w:rsid w:val="00E84580"/>
    <w:rsid w:val="00E85838"/>
    <w:rsid w:val="00E866A7"/>
    <w:rsid w:val="00E87159"/>
    <w:rsid w:val="00E90FDC"/>
    <w:rsid w:val="00E91B52"/>
    <w:rsid w:val="00EA1F3A"/>
    <w:rsid w:val="00EA45D8"/>
    <w:rsid w:val="00EA5644"/>
    <w:rsid w:val="00EA7492"/>
    <w:rsid w:val="00EB13D9"/>
    <w:rsid w:val="00EB5883"/>
    <w:rsid w:val="00EC285B"/>
    <w:rsid w:val="00EC37DA"/>
    <w:rsid w:val="00ED378A"/>
    <w:rsid w:val="00ED379E"/>
    <w:rsid w:val="00ED4939"/>
    <w:rsid w:val="00EE20D9"/>
    <w:rsid w:val="00EE3FE6"/>
    <w:rsid w:val="00EF00E3"/>
    <w:rsid w:val="00EF4C04"/>
    <w:rsid w:val="00F1003A"/>
    <w:rsid w:val="00F11B47"/>
    <w:rsid w:val="00F120D0"/>
    <w:rsid w:val="00F15022"/>
    <w:rsid w:val="00F1796B"/>
    <w:rsid w:val="00F2143B"/>
    <w:rsid w:val="00F21A0C"/>
    <w:rsid w:val="00F26A45"/>
    <w:rsid w:val="00F31E1B"/>
    <w:rsid w:val="00F323F4"/>
    <w:rsid w:val="00F326B7"/>
    <w:rsid w:val="00F32A2E"/>
    <w:rsid w:val="00F344D3"/>
    <w:rsid w:val="00F42FF2"/>
    <w:rsid w:val="00F52AFE"/>
    <w:rsid w:val="00F53359"/>
    <w:rsid w:val="00F5586D"/>
    <w:rsid w:val="00F561E3"/>
    <w:rsid w:val="00F6313D"/>
    <w:rsid w:val="00F66CEA"/>
    <w:rsid w:val="00F70DD3"/>
    <w:rsid w:val="00F73AD5"/>
    <w:rsid w:val="00F81EC1"/>
    <w:rsid w:val="00F82AC2"/>
    <w:rsid w:val="00F852C4"/>
    <w:rsid w:val="00F86A95"/>
    <w:rsid w:val="00F9263E"/>
    <w:rsid w:val="00F943AE"/>
    <w:rsid w:val="00F94E50"/>
    <w:rsid w:val="00FA040D"/>
    <w:rsid w:val="00FA136B"/>
    <w:rsid w:val="00FC09C2"/>
    <w:rsid w:val="00FC41BC"/>
    <w:rsid w:val="00FC5AD4"/>
    <w:rsid w:val="00FC6D1F"/>
    <w:rsid w:val="00FD03F2"/>
    <w:rsid w:val="00FD4398"/>
    <w:rsid w:val="00FF0378"/>
    <w:rsid w:val="00FF23F5"/>
    <w:rsid w:val="00FF2704"/>
    <w:rsid w:val="00FF69F1"/>
    <w:rsid w:val="017103FD"/>
    <w:rsid w:val="01A455D3"/>
    <w:rsid w:val="02B41DA6"/>
    <w:rsid w:val="06E9015D"/>
    <w:rsid w:val="0900747E"/>
    <w:rsid w:val="0ACE05D7"/>
    <w:rsid w:val="0C15582F"/>
    <w:rsid w:val="0C411530"/>
    <w:rsid w:val="0E021C81"/>
    <w:rsid w:val="10EC34EA"/>
    <w:rsid w:val="11DC0B9D"/>
    <w:rsid w:val="129739A4"/>
    <w:rsid w:val="131827B9"/>
    <w:rsid w:val="18AB06C5"/>
    <w:rsid w:val="19757DA8"/>
    <w:rsid w:val="1D13278C"/>
    <w:rsid w:val="1D616D19"/>
    <w:rsid w:val="1E7D4409"/>
    <w:rsid w:val="1EAC4980"/>
    <w:rsid w:val="205D734D"/>
    <w:rsid w:val="224439AE"/>
    <w:rsid w:val="23B720F8"/>
    <w:rsid w:val="259273F9"/>
    <w:rsid w:val="25C26B32"/>
    <w:rsid w:val="263807EC"/>
    <w:rsid w:val="266627CD"/>
    <w:rsid w:val="281F6300"/>
    <w:rsid w:val="2D7820EF"/>
    <w:rsid w:val="2FAB540A"/>
    <w:rsid w:val="31871841"/>
    <w:rsid w:val="31F503FF"/>
    <w:rsid w:val="34673666"/>
    <w:rsid w:val="34717293"/>
    <w:rsid w:val="36937EB2"/>
    <w:rsid w:val="36E5586C"/>
    <w:rsid w:val="3C0606A8"/>
    <w:rsid w:val="3D095636"/>
    <w:rsid w:val="3DC41242"/>
    <w:rsid w:val="3E7F63F0"/>
    <w:rsid w:val="4023709F"/>
    <w:rsid w:val="427B20EB"/>
    <w:rsid w:val="45374FB3"/>
    <w:rsid w:val="45AA7982"/>
    <w:rsid w:val="4635734B"/>
    <w:rsid w:val="468A0D94"/>
    <w:rsid w:val="48FA645F"/>
    <w:rsid w:val="4D0F7FFF"/>
    <w:rsid w:val="4D296259"/>
    <w:rsid w:val="4E4902C3"/>
    <w:rsid w:val="53560736"/>
    <w:rsid w:val="540006A2"/>
    <w:rsid w:val="547215A0"/>
    <w:rsid w:val="562B00FF"/>
    <w:rsid w:val="58800458"/>
    <w:rsid w:val="5AEB1432"/>
    <w:rsid w:val="5B190A27"/>
    <w:rsid w:val="5BBA0740"/>
    <w:rsid w:val="5D804D44"/>
    <w:rsid w:val="5DE32A4E"/>
    <w:rsid w:val="5FA45E23"/>
    <w:rsid w:val="64527EED"/>
    <w:rsid w:val="64AA7A10"/>
    <w:rsid w:val="651D2E62"/>
    <w:rsid w:val="66CD4D5B"/>
    <w:rsid w:val="66EB0348"/>
    <w:rsid w:val="6A604E36"/>
    <w:rsid w:val="6B2D45C7"/>
    <w:rsid w:val="6CCD248A"/>
    <w:rsid w:val="6D045B43"/>
    <w:rsid w:val="6D3D0F94"/>
    <w:rsid w:val="6D661913"/>
    <w:rsid w:val="6E863A79"/>
    <w:rsid w:val="712B2DAA"/>
    <w:rsid w:val="717E112C"/>
    <w:rsid w:val="75240258"/>
    <w:rsid w:val="75EF48BA"/>
    <w:rsid w:val="77586D4D"/>
    <w:rsid w:val="787B6B5C"/>
    <w:rsid w:val="78A16BF0"/>
    <w:rsid w:val="79412D21"/>
    <w:rsid w:val="79B853F7"/>
    <w:rsid w:val="79E9203A"/>
    <w:rsid w:val="7A26565E"/>
    <w:rsid w:val="7C0E41BB"/>
    <w:rsid w:val="7CE43387"/>
    <w:rsid w:val="7E05268F"/>
    <w:rsid w:val="7F13585C"/>
    <w:rsid w:val="FEFE2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ind w:firstLine="560" w:firstLineChars="200"/>
      <w:jc w:val="both"/>
    </w:pPr>
    <w:rPr>
      <w:rFonts w:ascii="Times New Roman" w:hAnsi="Times New Roman" w:eastAsia="仿宋" w:cstheme="minorBidi"/>
      <w:kern w:val="2"/>
      <w:sz w:val="28"/>
      <w:szCs w:val="22"/>
      <w:lang w:val="en-US" w:eastAsia="zh-CN" w:bidi="ar-SA"/>
    </w:rPr>
  </w:style>
  <w:style w:type="paragraph" w:styleId="2">
    <w:name w:val="heading 1"/>
    <w:basedOn w:val="1"/>
    <w:next w:val="1"/>
    <w:link w:val="18"/>
    <w:qFormat/>
    <w:uiPriority w:val="9"/>
    <w:pPr>
      <w:keepNext/>
      <w:keepLines/>
      <w:spacing w:before="340" w:after="330" w:line="578" w:lineRule="auto"/>
      <w:ind w:firstLine="0" w:firstLineChars="0"/>
      <w:jc w:val="center"/>
      <w:outlineLvl w:val="0"/>
    </w:pPr>
    <w:rPr>
      <w:rFonts w:eastAsia="微软雅黑"/>
      <w:b/>
      <w:bCs/>
      <w:kern w:val="44"/>
      <w:sz w:val="44"/>
      <w:szCs w:val="44"/>
    </w:rPr>
  </w:style>
  <w:style w:type="paragraph" w:styleId="3">
    <w:name w:val="heading 2"/>
    <w:basedOn w:val="4"/>
    <w:next w:val="1"/>
    <w:link w:val="19"/>
    <w:unhideWhenUsed/>
    <w:qFormat/>
    <w:uiPriority w:val="9"/>
    <w:pPr>
      <w:keepNext/>
      <w:keepLines/>
      <w:spacing w:before="260" w:after="260" w:line="415" w:lineRule="auto"/>
      <w:ind w:firstLine="602"/>
      <w:outlineLvl w:val="1"/>
    </w:pPr>
    <w:rPr>
      <w:rFonts w:asciiTheme="majorHAnsi" w:hAnsiTheme="majorHAnsi" w:cstheme="majorBidi"/>
      <w:b/>
      <w:bCs/>
      <w:color w:val="000000" w:themeColor="text1"/>
      <w:sz w:val="30"/>
      <w:szCs w:val="30"/>
      <w14:textFill>
        <w14:solidFill>
          <w14:schemeClr w14:val="tx1"/>
        </w14:solidFill>
      </w14:textFill>
    </w:rPr>
  </w:style>
  <w:style w:type="paragraph" w:styleId="5">
    <w:name w:val="heading 3"/>
    <w:basedOn w:val="1"/>
    <w:next w:val="1"/>
    <w:link w:val="20"/>
    <w:unhideWhenUsed/>
    <w:qFormat/>
    <w:uiPriority w:val="9"/>
    <w:pPr>
      <w:keepNext/>
      <w:keepLines/>
      <w:spacing w:before="260" w:after="260" w:line="416" w:lineRule="auto"/>
      <w:ind w:firstLine="602"/>
      <w:outlineLvl w:val="2"/>
    </w:pPr>
    <w:rPr>
      <w:b/>
      <w:bCs/>
      <w:sz w:val="30"/>
      <w:szCs w:val="32"/>
    </w:rPr>
  </w:style>
  <w:style w:type="paragraph" w:styleId="6">
    <w:name w:val="heading 4"/>
    <w:basedOn w:val="1"/>
    <w:next w:val="1"/>
    <w:link w:val="27"/>
    <w:unhideWhenUsed/>
    <w:qFormat/>
    <w:uiPriority w:val="9"/>
    <w:pPr>
      <w:keepNext/>
      <w:keepLines/>
      <w:spacing w:before="280" w:after="290" w:line="376" w:lineRule="auto"/>
      <w:ind w:firstLine="562"/>
      <w:outlineLvl w:val="3"/>
    </w:pPr>
    <w:rPr>
      <w:rFonts w:ascii="仿宋" w:hAnsi="仿宋" w:cstheme="majorBidi"/>
      <w:b/>
      <w:bCs/>
      <w:szCs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List Paragraph"/>
    <w:basedOn w:val="1"/>
    <w:qFormat/>
    <w:uiPriority w:val="34"/>
    <w:pPr>
      <w:widowControl w:val="0"/>
      <w:autoSpaceDE w:val="0"/>
      <w:autoSpaceDN w:val="0"/>
      <w:ind w:firstLine="420"/>
      <w:jc w:val="left"/>
    </w:pPr>
    <w:rPr>
      <w:rFonts w:ascii="仿宋" w:hAnsi="仿宋" w:cs="仿宋"/>
      <w:kern w:val="0"/>
      <w:sz w:val="22"/>
      <w:lang w:eastAsia="en-US"/>
    </w:rPr>
  </w:style>
  <w:style w:type="paragraph" w:styleId="7">
    <w:name w:val="Body Text"/>
    <w:basedOn w:val="1"/>
    <w:link w:val="25"/>
    <w:qFormat/>
    <w:uiPriority w:val="1"/>
    <w:pPr>
      <w:widowControl w:val="0"/>
      <w:autoSpaceDE w:val="0"/>
      <w:autoSpaceDN w:val="0"/>
      <w:ind w:firstLine="0" w:firstLineChars="0"/>
      <w:jc w:val="left"/>
    </w:pPr>
    <w:rPr>
      <w:rFonts w:ascii="仿宋" w:hAnsi="仿宋" w:cs="仿宋"/>
      <w:kern w:val="0"/>
      <w:szCs w:val="28"/>
      <w:lang w:eastAsia="en-US"/>
    </w:rPr>
  </w:style>
  <w:style w:type="paragraph" w:styleId="8">
    <w:name w:val="toc 3"/>
    <w:basedOn w:val="1"/>
    <w:next w:val="1"/>
    <w:unhideWhenUsed/>
    <w:qFormat/>
    <w:uiPriority w:val="39"/>
    <w:pPr>
      <w:ind w:left="840" w:leftChars="400"/>
    </w:pPr>
  </w:style>
  <w:style w:type="paragraph" w:styleId="9">
    <w:name w:val="footer"/>
    <w:basedOn w:val="1"/>
    <w:link w:val="22"/>
    <w:unhideWhenUsed/>
    <w:qFormat/>
    <w:uiPriority w:val="99"/>
    <w:pPr>
      <w:tabs>
        <w:tab w:val="center" w:pos="4153"/>
        <w:tab w:val="right" w:pos="8306"/>
      </w:tabs>
      <w:snapToGrid w:val="0"/>
    </w:pPr>
    <w:rPr>
      <w:sz w:val="18"/>
      <w:szCs w:val="18"/>
    </w:rPr>
  </w:style>
  <w:style w:type="paragraph" w:styleId="10">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tabs>
        <w:tab w:val="left" w:pos="1260"/>
        <w:tab w:val="right" w:leader="dot" w:pos="8296"/>
      </w:tabs>
      <w:spacing w:before="312" w:beforeLines="100" w:line="360" w:lineRule="auto"/>
      <w:ind w:left="643" w:hanging="643" w:hangingChars="200"/>
    </w:pPr>
    <w:rPr>
      <w:b/>
      <w:sz w:val="32"/>
      <w:szCs w:val="24"/>
    </w:rPr>
  </w:style>
  <w:style w:type="paragraph" w:styleId="12">
    <w:name w:val="toc 2"/>
    <w:basedOn w:val="1"/>
    <w:next w:val="1"/>
    <w:unhideWhenUsed/>
    <w:qFormat/>
    <w:uiPriority w:val="39"/>
    <w:rPr>
      <w:sz w:val="24"/>
    </w:rPr>
  </w:style>
  <w:style w:type="paragraph" w:styleId="13">
    <w:name w:val="Normal (Web)"/>
    <w:basedOn w:val="1"/>
    <w:unhideWhenUsed/>
    <w:qFormat/>
    <w:uiPriority w:val="99"/>
    <w:pPr>
      <w:spacing w:before="100" w:beforeAutospacing="1" w:after="100" w:afterAutospacing="1"/>
      <w:ind w:firstLine="0" w:firstLineChars="0"/>
      <w:jc w:val="left"/>
    </w:pPr>
    <w:rPr>
      <w:rFonts w:ascii="宋体" w:hAnsi="宋体" w:eastAsia="宋体" w:cs="宋体"/>
      <w:kern w:val="0"/>
      <w:sz w:val="24"/>
      <w:szCs w:val="24"/>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character" w:customStyle="1" w:styleId="18">
    <w:name w:val="标题 1 字符"/>
    <w:basedOn w:val="16"/>
    <w:link w:val="2"/>
    <w:qFormat/>
    <w:uiPriority w:val="9"/>
    <w:rPr>
      <w:rFonts w:eastAsia="微软雅黑"/>
      <w:b/>
      <w:bCs/>
      <w:kern w:val="44"/>
      <w:sz w:val="44"/>
      <w:szCs w:val="44"/>
    </w:rPr>
  </w:style>
  <w:style w:type="character" w:customStyle="1" w:styleId="19">
    <w:name w:val="标题 2 字符"/>
    <w:basedOn w:val="16"/>
    <w:link w:val="3"/>
    <w:qFormat/>
    <w:uiPriority w:val="9"/>
    <w:rPr>
      <w:rFonts w:eastAsia="仿宋" w:asciiTheme="majorHAnsi" w:hAnsiTheme="majorHAnsi" w:cstheme="majorBidi"/>
      <w:b/>
      <w:bCs/>
      <w:color w:val="000000" w:themeColor="text1"/>
      <w:sz w:val="30"/>
      <w:szCs w:val="30"/>
      <w:lang w:eastAsia="en-US"/>
      <w14:textFill>
        <w14:solidFill>
          <w14:schemeClr w14:val="tx1"/>
        </w14:solidFill>
      </w14:textFill>
    </w:rPr>
  </w:style>
  <w:style w:type="character" w:customStyle="1" w:styleId="20">
    <w:name w:val="标题 3 字符"/>
    <w:basedOn w:val="16"/>
    <w:link w:val="5"/>
    <w:qFormat/>
    <w:uiPriority w:val="9"/>
    <w:rPr>
      <w:b/>
      <w:bCs/>
      <w:szCs w:val="32"/>
    </w:rPr>
  </w:style>
  <w:style w:type="character" w:customStyle="1" w:styleId="21">
    <w:name w:val="页眉 字符"/>
    <w:basedOn w:val="16"/>
    <w:link w:val="10"/>
    <w:qFormat/>
    <w:uiPriority w:val="99"/>
    <w:rPr>
      <w:sz w:val="18"/>
      <w:szCs w:val="18"/>
    </w:rPr>
  </w:style>
  <w:style w:type="character" w:customStyle="1" w:styleId="22">
    <w:name w:val="页脚 字符"/>
    <w:basedOn w:val="16"/>
    <w:link w:val="9"/>
    <w:qFormat/>
    <w:uiPriority w:val="99"/>
    <w:rPr>
      <w:sz w:val="18"/>
      <w:szCs w:val="18"/>
    </w:rPr>
  </w:style>
  <w:style w:type="paragraph" w:customStyle="1" w:styleId="2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table" w:customStyle="1" w:styleId="24">
    <w:name w:val="Table Normal"/>
    <w:semiHidden/>
    <w:unhideWhenUsed/>
    <w:qFormat/>
    <w:uiPriority w:val="2"/>
    <w:pPr>
      <w:widowControl w:val="0"/>
      <w:autoSpaceDE w:val="0"/>
      <w:autoSpaceDN w:val="0"/>
    </w:pPr>
    <w:rPr>
      <w:rFonts w:asciiTheme="minorHAnsi" w:hAnsiTheme="minorHAnsi" w:eastAsiaTheme="minorEastAsia"/>
      <w:sz w:val="22"/>
      <w:lang w:eastAsia="en-US"/>
    </w:rPr>
    <w:tblPr>
      <w:tblCellMar>
        <w:top w:w="0" w:type="dxa"/>
        <w:left w:w="0" w:type="dxa"/>
        <w:bottom w:w="0" w:type="dxa"/>
        <w:right w:w="0" w:type="dxa"/>
      </w:tblCellMar>
    </w:tblPr>
  </w:style>
  <w:style w:type="character" w:customStyle="1" w:styleId="25">
    <w:name w:val="正文文本 字符"/>
    <w:basedOn w:val="16"/>
    <w:link w:val="7"/>
    <w:qFormat/>
    <w:uiPriority w:val="1"/>
    <w:rPr>
      <w:rFonts w:ascii="仿宋" w:hAnsi="仿宋" w:cs="仿宋"/>
      <w:kern w:val="0"/>
      <w:sz w:val="28"/>
      <w:szCs w:val="28"/>
      <w:lang w:eastAsia="en-US"/>
    </w:rPr>
  </w:style>
  <w:style w:type="paragraph" w:customStyle="1" w:styleId="26">
    <w:name w:val="Table Paragraph"/>
    <w:basedOn w:val="1"/>
    <w:qFormat/>
    <w:uiPriority w:val="1"/>
    <w:pPr>
      <w:widowControl w:val="0"/>
      <w:autoSpaceDE w:val="0"/>
      <w:autoSpaceDN w:val="0"/>
      <w:ind w:firstLine="0" w:firstLineChars="0"/>
      <w:jc w:val="center"/>
    </w:pPr>
    <w:rPr>
      <w:rFonts w:ascii="仿宋" w:hAnsi="仿宋" w:cs="仿宋"/>
      <w:kern w:val="0"/>
      <w:sz w:val="22"/>
      <w:lang w:eastAsia="en-US"/>
    </w:rPr>
  </w:style>
  <w:style w:type="character" w:customStyle="1" w:styleId="27">
    <w:name w:val="标题 4 字符"/>
    <w:basedOn w:val="16"/>
    <w:link w:val="6"/>
    <w:qFormat/>
    <w:uiPriority w:val="9"/>
    <w:rPr>
      <w:rFonts w:ascii="仿宋" w:hAnsi="仿宋" w:cstheme="majorBidi"/>
      <w:b/>
      <w:bCs/>
      <w:sz w:val="28"/>
      <w:szCs w:val="28"/>
    </w:rPr>
  </w:style>
  <w:style w:type="character" w:customStyle="1" w:styleId="28">
    <w:name w:val="markedcontent"/>
    <w:basedOn w:val="16"/>
    <w:qFormat/>
    <w:uiPriority w:val="0"/>
  </w:style>
  <w:style w:type="character" w:customStyle="1" w:styleId="29">
    <w:name w:val="highlight"/>
    <w:basedOn w:val="16"/>
    <w:qFormat/>
    <w:uiPriority w:val="0"/>
  </w:style>
  <w:style w:type="paragraph" w:customStyle="1" w:styleId="30">
    <w:name w:val="0-表格"/>
    <w:basedOn w:val="1"/>
    <w:link w:val="31"/>
    <w:qFormat/>
    <w:uiPriority w:val="0"/>
    <w:pPr>
      <w:widowControl w:val="0"/>
      <w:ind w:firstLine="0" w:firstLineChars="0"/>
      <w:jc w:val="center"/>
    </w:pPr>
    <w:rPr>
      <w:rFonts w:ascii="仿宋_GB2312" w:eastAsia="仿宋_GB2312" w:hAnsiTheme="minorHAnsi"/>
      <w:sz w:val="21"/>
      <w:szCs w:val="20"/>
    </w:rPr>
  </w:style>
  <w:style w:type="character" w:customStyle="1" w:styleId="31">
    <w:name w:val="0-表格 Char"/>
    <w:basedOn w:val="16"/>
    <w:link w:val="30"/>
    <w:qFormat/>
    <w:uiPriority w:val="0"/>
    <w:rPr>
      <w:rFonts w:ascii="仿宋_GB2312" w:eastAsia="仿宋_GB2312" w:hAnsiTheme="minorHAnsi"/>
      <w:sz w:val="21"/>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microsoft.com/office/2006/relationships/keyMapCustomizations" Target="customizations.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TAUPD</Company>
  <Pages>11</Pages>
  <Words>2837</Words>
  <Characters>2888</Characters>
  <Lines>74</Lines>
  <Paragraphs>20</Paragraphs>
  <TotalTime>80</TotalTime>
  <ScaleCrop>false</ScaleCrop>
  <LinksUpToDate>false</LinksUpToDate>
  <CharactersWithSpaces>2891</CharactersWithSpaces>
  <Application>WPS Office_11.8.2.9793_F1E327BC-269C-435d-A152-05C5408002CA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2024-03-05T09:38:00Z</dcterms:created>
  <dc:creator>赵 光</dc:creator>
  <cp:lastModifiedBy>kylin</cp:lastModifiedBy>
  <cp:lastPrinted>2024-06-13T09:41:00Z</cp:lastPrinted>
  <dcterms:modified xsi:type="dcterms:W3CDTF">2024-08-15T13:53:00Z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2052-11.8.2.9793</vt:lpwstr>
  </property>
  <property fmtid="{D5CDD505-2E9C-101B-9397-08002B2CF9AE}" pid="3" name="ICV">
    <vt:lpwstr>36BCBD65D0DA45E5BAA1B2F224C31BB3_12</vt:lpwstr>
  </property>
</Properties>
</file>