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李七庄街道党群服务中心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赵雪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23727977</w:t>
      </w:r>
      <w:r>
        <w:rPr>
          <w:rFonts w:hint="eastAsia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600" w:lineRule="exact"/>
        <w:rPr>
          <w:rFonts w:hint="eastAsia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/>
    <w:p>
      <w:pPr>
        <w:spacing w:line="560" w:lineRule="exact"/>
        <w:ind w:firstLine="1920" w:firstLineChars="600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李七庄街道党群服务中心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1ZWQ2YzI0NmUwNGUwYTY4ODJiYzEyNThiOTBjYWUifQ=="/>
  </w:docVars>
  <w:rsids>
    <w:rsidRoot w:val="0067791E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DF72F7"/>
    <w:rsid w:val="00E3517C"/>
    <w:rsid w:val="00F41043"/>
    <w:rsid w:val="00FF7960"/>
    <w:rsid w:val="35A0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223</Words>
  <Characters>243</Characters>
  <Lines>1</Lines>
  <Paragraphs>1</Paragraphs>
  <TotalTime>58</TotalTime>
  <ScaleCrop>false</ScaleCrop>
  <LinksUpToDate>false</LinksUpToDate>
  <CharactersWithSpaces>249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Administrator</cp:lastModifiedBy>
  <dcterms:modified xsi:type="dcterms:W3CDTF">2022-08-25T08:32:02Z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8CB640D845484FD7A1B31A41813780D4</vt:lpwstr>
  </property>
</Properties>
</file>