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A8F10">
      <w:pPr>
        <w:spacing w:line="2600" w:lineRule="exact"/>
        <w:ind w:firstLine="0"/>
        <w:jc w:val="center"/>
      </w:pPr>
      <w:r>
        <w:rPr>
          <w:rFonts w:ascii="方正小标宋简体" w:hAnsi="方正小标宋简体" w:eastAsia="方正小标宋简体" w:cs="方正小标宋简体"/>
          <w:b/>
          <w:color w:val="000000"/>
          <w:sz w:val="48"/>
        </w:rPr>
        <w:t>天津市西青区辛口镇综合治理中心（网格化管理中心）</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54319B39">
      <w:pPr>
        <w:pageBreakBefore/>
        <w:spacing w:line="560" w:lineRule="exact"/>
        <w:ind w:firstLine="0"/>
        <w:jc w:val="center"/>
      </w:pPr>
      <w:r>
        <w:rPr>
          <w:rFonts w:ascii="黑体" w:hAnsi="黑体" w:eastAsia="黑体" w:cs="黑体"/>
          <w:b/>
          <w:color w:val="000000"/>
          <w:sz w:val="44"/>
        </w:rPr>
        <w:t>目    录</w:t>
      </w:r>
    </w:p>
    <w:p w14:paraId="5057150C">
      <w:pPr>
        <w:spacing w:line="560" w:lineRule="exact"/>
        <w:ind w:firstLine="900"/>
        <w:jc w:val="both"/>
      </w:pPr>
      <w:r>
        <w:rPr>
          <w:rFonts w:ascii="仿宋" w:hAnsi="仿宋" w:eastAsia="仿宋" w:cs="仿宋"/>
          <w:b/>
          <w:color w:val="000000"/>
          <w:sz w:val="30"/>
        </w:rPr>
        <w:t>第一部分  概况</w:t>
      </w:r>
    </w:p>
    <w:p w14:paraId="004FD626">
      <w:pPr>
        <w:spacing w:line="560" w:lineRule="exact"/>
        <w:ind w:firstLine="900"/>
        <w:jc w:val="both"/>
      </w:pPr>
      <w:r>
        <w:rPr>
          <w:rFonts w:ascii="仿宋" w:hAnsi="仿宋" w:eastAsia="仿宋" w:cs="仿宋"/>
          <w:b w:val="0"/>
          <w:color w:val="000000"/>
          <w:sz w:val="30"/>
        </w:rPr>
        <w:t>一、主要职责</w:t>
      </w:r>
    </w:p>
    <w:p w14:paraId="34798715">
      <w:pPr>
        <w:spacing w:line="560" w:lineRule="exact"/>
        <w:ind w:firstLine="900"/>
        <w:jc w:val="both"/>
      </w:pPr>
      <w:r>
        <w:rPr>
          <w:rFonts w:ascii="仿宋" w:hAnsi="仿宋" w:eastAsia="仿宋" w:cs="仿宋"/>
          <w:b w:val="0"/>
          <w:color w:val="000000"/>
          <w:sz w:val="30"/>
        </w:rPr>
        <w:t>二、机构设置情况</w:t>
      </w:r>
    </w:p>
    <w:p w14:paraId="0C5DC4DD">
      <w:pPr>
        <w:spacing w:line="560" w:lineRule="exact"/>
        <w:ind w:firstLine="900"/>
        <w:jc w:val="both"/>
      </w:pPr>
      <w:r>
        <w:rPr>
          <w:rFonts w:ascii="仿宋" w:hAnsi="仿宋" w:eastAsia="仿宋" w:cs="仿宋"/>
          <w:b/>
          <w:color w:val="000000"/>
          <w:sz w:val="30"/>
        </w:rPr>
        <w:t>第二部分  2025年单位情况说明</w:t>
      </w:r>
    </w:p>
    <w:p w14:paraId="052FB127">
      <w:pPr>
        <w:spacing w:line="560" w:lineRule="exact"/>
        <w:ind w:firstLine="900"/>
        <w:jc w:val="both"/>
      </w:pPr>
      <w:r>
        <w:rPr>
          <w:rFonts w:ascii="仿宋" w:hAnsi="仿宋" w:eastAsia="仿宋" w:cs="仿宋"/>
          <w:b w:val="0"/>
          <w:color w:val="000000"/>
          <w:sz w:val="30"/>
        </w:rPr>
        <w:t>一、关于收支总体情况表的说明</w:t>
      </w:r>
    </w:p>
    <w:p w14:paraId="221F1E0A">
      <w:pPr>
        <w:spacing w:line="560" w:lineRule="exact"/>
        <w:ind w:firstLine="900"/>
        <w:jc w:val="both"/>
      </w:pPr>
      <w:r>
        <w:rPr>
          <w:rFonts w:ascii="仿宋" w:hAnsi="仿宋" w:eastAsia="仿宋" w:cs="仿宋"/>
          <w:b w:val="0"/>
          <w:color w:val="000000"/>
          <w:sz w:val="30"/>
        </w:rPr>
        <w:t>二、关于收入总体情况表的说明</w:t>
      </w:r>
    </w:p>
    <w:p w14:paraId="76776AA7">
      <w:pPr>
        <w:spacing w:line="560" w:lineRule="exact"/>
        <w:ind w:firstLine="900"/>
        <w:jc w:val="both"/>
      </w:pPr>
      <w:r>
        <w:rPr>
          <w:rFonts w:ascii="仿宋" w:hAnsi="仿宋" w:eastAsia="仿宋" w:cs="仿宋"/>
          <w:b w:val="0"/>
          <w:color w:val="000000"/>
          <w:sz w:val="30"/>
        </w:rPr>
        <w:t>三、关于支出总体情况表的说明</w:t>
      </w:r>
    </w:p>
    <w:p w14:paraId="72DFDB79">
      <w:pPr>
        <w:spacing w:line="560" w:lineRule="exact"/>
        <w:ind w:firstLine="900"/>
        <w:jc w:val="both"/>
      </w:pPr>
      <w:r>
        <w:rPr>
          <w:rFonts w:ascii="仿宋" w:hAnsi="仿宋" w:eastAsia="仿宋" w:cs="仿宋"/>
          <w:b w:val="0"/>
          <w:color w:val="000000"/>
          <w:sz w:val="30"/>
        </w:rPr>
        <w:t>四、关于财政拨款收支总体情况表的说明</w:t>
      </w:r>
    </w:p>
    <w:p w14:paraId="1F7C5B4B">
      <w:pPr>
        <w:spacing w:line="560" w:lineRule="exact"/>
        <w:ind w:firstLine="900"/>
        <w:jc w:val="both"/>
      </w:pPr>
      <w:r>
        <w:rPr>
          <w:rFonts w:ascii="仿宋" w:hAnsi="仿宋" w:eastAsia="仿宋" w:cs="仿宋"/>
          <w:b w:val="0"/>
          <w:color w:val="000000"/>
          <w:sz w:val="30"/>
        </w:rPr>
        <w:t>五、关于一般公共预算支出情况表的说明</w:t>
      </w:r>
    </w:p>
    <w:p w14:paraId="145EA033">
      <w:pPr>
        <w:spacing w:line="560" w:lineRule="exact"/>
        <w:ind w:firstLine="900"/>
        <w:jc w:val="both"/>
      </w:pPr>
      <w:r>
        <w:rPr>
          <w:rFonts w:ascii="仿宋" w:hAnsi="仿宋" w:eastAsia="仿宋" w:cs="仿宋"/>
          <w:b w:val="0"/>
          <w:color w:val="000000"/>
          <w:sz w:val="30"/>
        </w:rPr>
        <w:t>六、关于一般公共预算基本支出情况表的说明</w:t>
      </w:r>
    </w:p>
    <w:p w14:paraId="7EB6C5EA">
      <w:pPr>
        <w:spacing w:line="560" w:lineRule="exact"/>
        <w:ind w:firstLine="900"/>
        <w:jc w:val="both"/>
      </w:pPr>
      <w:r>
        <w:rPr>
          <w:rFonts w:ascii="仿宋" w:hAnsi="仿宋" w:eastAsia="仿宋" w:cs="仿宋"/>
          <w:b w:val="0"/>
          <w:color w:val="000000"/>
          <w:sz w:val="30"/>
        </w:rPr>
        <w:t>七、关于一般公共预算“三公”经费支出情况表的说明</w:t>
      </w:r>
    </w:p>
    <w:p w14:paraId="4D8DFF8E">
      <w:pPr>
        <w:spacing w:line="560" w:lineRule="exact"/>
        <w:ind w:firstLine="900"/>
        <w:jc w:val="both"/>
      </w:pPr>
      <w:r>
        <w:rPr>
          <w:rFonts w:ascii="仿宋" w:hAnsi="仿宋" w:eastAsia="仿宋" w:cs="仿宋"/>
          <w:b w:val="0"/>
          <w:color w:val="000000"/>
          <w:sz w:val="30"/>
        </w:rPr>
        <w:t>八、关于政府性基金预算支出情况表的说明</w:t>
      </w:r>
    </w:p>
    <w:p w14:paraId="6261FF07">
      <w:pPr>
        <w:spacing w:line="560" w:lineRule="exact"/>
        <w:ind w:firstLine="900"/>
        <w:jc w:val="both"/>
      </w:pPr>
      <w:r>
        <w:rPr>
          <w:rFonts w:ascii="仿宋" w:hAnsi="仿宋" w:eastAsia="仿宋" w:cs="仿宋"/>
          <w:b w:val="0"/>
          <w:color w:val="000000"/>
          <w:sz w:val="30"/>
        </w:rPr>
        <w:t>九、关于国有资本经营预算支出情况表的说明</w:t>
      </w:r>
    </w:p>
    <w:p w14:paraId="617C8DC7">
      <w:pPr>
        <w:spacing w:line="560" w:lineRule="exact"/>
        <w:ind w:firstLine="900"/>
        <w:jc w:val="both"/>
      </w:pPr>
      <w:r>
        <w:rPr>
          <w:rFonts w:ascii="仿宋" w:hAnsi="仿宋" w:eastAsia="仿宋" w:cs="仿宋"/>
          <w:b w:val="0"/>
          <w:color w:val="000000"/>
          <w:sz w:val="30"/>
        </w:rPr>
        <w:t>十、其他重要事项的情况说明</w:t>
      </w:r>
    </w:p>
    <w:p w14:paraId="12A61E28">
      <w:pPr>
        <w:spacing w:line="560" w:lineRule="exact"/>
        <w:ind w:firstLine="900"/>
        <w:jc w:val="both"/>
      </w:pPr>
      <w:r>
        <w:rPr>
          <w:rFonts w:ascii="仿宋" w:hAnsi="仿宋" w:eastAsia="仿宋" w:cs="仿宋"/>
          <w:b/>
          <w:color w:val="000000"/>
          <w:sz w:val="30"/>
        </w:rPr>
        <w:t>第三部分  名词解释</w:t>
      </w:r>
    </w:p>
    <w:p w14:paraId="204FB90D">
      <w:pPr>
        <w:spacing w:line="560" w:lineRule="exact"/>
        <w:ind w:firstLine="900"/>
        <w:jc w:val="both"/>
      </w:pPr>
      <w:r>
        <w:rPr>
          <w:rFonts w:ascii="仿宋" w:hAnsi="仿宋" w:eastAsia="仿宋" w:cs="仿宋"/>
          <w:b/>
          <w:color w:val="000000"/>
          <w:sz w:val="30"/>
        </w:rPr>
        <w:t>第四部分  2025年单位预算表</w:t>
      </w:r>
    </w:p>
    <w:p w14:paraId="11537D97">
      <w:pPr>
        <w:spacing w:line="560" w:lineRule="exact"/>
        <w:ind w:firstLine="900"/>
        <w:jc w:val="both"/>
      </w:pPr>
      <w:r>
        <w:rPr>
          <w:rFonts w:ascii="仿宋" w:hAnsi="仿宋" w:eastAsia="仿宋" w:cs="仿宋"/>
          <w:b w:val="0"/>
          <w:color w:val="000000"/>
          <w:sz w:val="30"/>
        </w:rPr>
        <w:t>一、部门收支总体情况表</w:t>
      </w:r>
    </w:p>
    <w:p w14:paraId="4EB1E416">
      <w:pPr>
        <w:spacing w:line="560" w:lineRule="exact"/>
        <w:ind w:firstLine="900"/>
        <w:jc w:val="both"/>
      </w:pPr>
      <w:r>
        <w:rPr>
          <w:rFonts w:ascii="仿宋" w:hAnsi="仿宋" w:eastAsia="仿宋" w:cs="仿宋"/>
          <w:b w:val="0"/>
          <w:color w:val="000000"/>
          <w:sz w:val="30"/>
        </w:rPr>
        <w:t>二、部门收入总体情况表</w:t>
      </w:r>
    </w:p>
    <w:p w14:paraId="0AF0A38F">
      <w:pPr>
        <w:spacing w:line="560" w:lineRule="exact"/>
        <w:ind w:firstLine="900"/>
        <w:jc w:val="both"/>
      </w:pPr>
      <w:r>
        <w:rPr>
          <w:rFonts w:ascii="仿宋" w:hAnsi="仿宋" w:eastAsia="仿宋" w:cs="仿宋"/>
          <w:b w:val="0"/>
          <w:color w:val="000000"/>
          <w:sz w:val="30"/>
        </w:rPr>
        <w:t>三、部门支出总体情况表</w:t>
      </w:r>
    </w:p>
    <w:p w14:paraId="6251E926">
      <w:pPr>
        <w:spacing w:line="560" w:lineRule="exact"/>
        <w:ind w:firstLine="900"/>
        <w:jc w:val="both"/>
      </w:pPr>
      <w:r>
        <w:rPr>
          <w:rFonts w:ascii="仿宋" w:hAnsi="仿宋" w:eastAsia="仿宋" w:cs="仿宋"/>
          <w:b w:val="0"/>
          <w:color w:val="000000"/>
          <w:sz w:val="30"/>
        </w:rPr>
        <w:t>四、财政拨款收支总体情况表</w:t>
      </w:r>
    </w:p>
    <w:p w14:paraId="6F14473A">
      <w:pPr>
        <w:spacing w:line="560" w:lineRule="exact"/>
        <w:ind w:firstLine="900"/>
        <w:jc w:val="both"/>
      </w:pPr>
      <w:r>
        <w:rPr>
          <w:rFonts w:ascii="仿宋" w:hAnsi="仿宋" w:eastAsia="仿宋" w:cs="仿宋"/>
          <w:b w:val="0"/>
          <w:color w:val="000000"/>
          <w:sz w:val="30"/>
        </w:rPr>
        <w:t>五、一般公共预算支出情况表</w:t>
      </w:r>
    </w:p>
    <w:p w14:paraId="0E6D4F20">
      <w:pPr>
        <w:spacing w:line="560" w:lineRule="exact"/>
        <w:ind w:firstLine="900"/>
        <w:jc w:val="both"/>
      </w:pPr>
      <w:r>
        <w:rPr>
          <w:rFonts w:ascii="仿宋" w:hAnsi="仿宋" w:eastAsia="仿宋" w:cs="仿宋"/>
          <w:b w:val="0"/>
          <w:color w:val="000000"/>
          <w:sz w:val="30"/>
        </w:rPr>
        <w:t>六、一般公共预算基本支出情况表</w:t>
      </w:r>
    </w:p>
    <w:p w14:paraId="0E1A8995">
      <w:pPr>
        <w:spacing w:line="560" w:lineRule="exact"/>
        <w:ind w:firstLine="900"/>
        <w:jc w:val="both"/>
      </w:pPr>
      <w:r>
        <w:rPr>
          <w:rFonts w:ascii="仿宋" w:hAnsi="仿宋" w:eastAsia="仿宋" w:cs="仿宋"/>
          <w:b w:val="0"/>
          <w:color w:val="000000"/>
          <w:sz w:val="30"/>
        </w:rPr>
        <w:t>七、一般公共预算“三公”经费支出情况表</w:t>
      </w:r>
    </w:p>
    <w:p w14:paraId="3A391008">
      <w:pPr>
        <w:spacing w:line="560" w:lineRule="exact"/>
        <w:ind w:firstLine="900"/>
        <w:jc w:val="both"/>
      </w:pPr>
      <w:r>
        <w:rPr>
          <w:rFonts w:ascii="仿宋" w:hAnsi="仿宋" w:eastAsia="仿宋" w:cs="仿宋"/>
          <w:b w:val="0"/>
          <w:color w:val="000000"/>
          <w:sz w:val="30"/>
        </w:rPr>
        <w:t>八、政府性基金预算支出情况表</w:t>
      </w:r>
    </w:p>
    <w:p w14:paraId="1FDECE77">
      <w:pPr>
        <w:spacing w:line="560" w:lineRule="exact"/>
        <w:ind w:firstLine="900"/>
        <w:jc w:val="both"/>
      </w:pPr>
      <w:r>
        <w:rPr>
          <w:rFonts w:ascii="仿宋" w:hAnsi="仿宋" w:eastAsia="仿宋" w:cs="仿宋"/>
          <w:b w:val="0"/>
          <w:color w:val="000000"/>
          <w:sz w:val="30"/>
        </w:rPr>
        <w:t>九、国有资本经营预算支出情况表</w:t>
      </w:r>
    </w:p>
    <w:p w14:paraId="7BE7B623">
      <w:pPr>
        <w:spacing w:line="560" w:lineRule="exact"/>
        <w:ind w:firstLine="900"/>
        <w:jc w:val="both"/>
      </w:pPr>
      <w:r>
        <w:rPr>
          <w:rFonts w:ascii="仿宋" w:hAnsi="仿宋" w:eastAsia="仿宋" w:cs="仿宋"/>
          <w:b w:val="0"/>
          <w:color w:val="000000"/>
          <w:sz w:val="30"/>
        </w:rPr>
        <w:t>十、项目支出表</w:t>
      </w:r>
    </w:p>
    <w:p w14:paraId="381050DB">
      <w:pPr>
        <w:spacing w:line="560" w:lineRule="exact"/>
        <w:ind w:firstLine="900"/>
        <w:jc w:val="both"/>
      </w:pPr>
      <w:r>
        <w:rPr>
          <w:rFonts w:ascii="仿宋" w:hAnsi="仿宋" w:eastAsia="仿宋" w:cs="仿宋"/>
          <w:b w:val="0"/>
          <w:color w:val="000000"/>
          <w:sz w:val="30"/>
        </w:rPr>
        <w:t>十一、关于空表的说明</w:t>
      </w:r>
    </w:p>
    <w:p w14:paraId="7A0DD795">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547A30EF">
      <w:pPr>
        <w:spacing w:line="560" w:lineRule="exact"/>
        <w:ind w:firstLine="600"/>
        <w:jc w:val="both"/>
      </w:pPr>
      <w:r>
        <w:rPr>
          <w:rFonts w:ascii="黑体" w:hAnsi="黑体" w:eastAsia="黑体" w:cs="黑体"/>
          <w:b/>
          <w:color w:val="353232"/>
          <w:sz w:val="30"/>
        </w:rPr>
        <w:t>一、主要职责</w:t>
      </w:r>
    </w:p>
    <w:p w14:paraId="033C7D00">
      <w:pPr>
        <w:spacing w:line="560" w:lineRule="exact"/>
        <w:ind w:firstLine="600"/>
        <w:jc w:val="both"/>
      </w:pPr>
      <w:r>
        <w:rPr>
          <w:rFonts w:ascii="仿宋" w:hAnsi="仿宋" w:eastAsia="仿宋" w:cs="仿宋"/>
          <w:b w:val="0"/>
          <w:color w:val="000000"/>
          <w:sz w:val="30"/>
        </w:rPr>
        <w:t>维护社会稳定、负责社会治安综合管理、综合执法、网格化管理等各类平台的综合指挥管理；负责平台运行的日常管理、维护，承担本镇各类安全生产、食品安全、消防安全、河（湖）长制、道路养管等综合管理问题的受理、转办等工作。</w:t>
      </w:r>
    </w:p>
    <w:p w14:paraId="438133CC">
      <w:pPr>
        <w:spacing w:line="560" w:lineRule="exact"/>
        <w:ind w:firstLine="600"/>
        <w:jc w:val="both"/>
      </w:pPr>
      <w:r>
        <w:rPr>
          <w:rFonts w:ascii="黑体" w:hAnsi="黑体" w:eastAsia="黑体" w:cs="黑体"/>
          <w:b/>
          <w:color w:val="000000"/>
          <w:sz w:val="30"/>
        </w:rPr>
        <w:t>二、机构设置情况</w:t>
      </w:r>
    </w:p>
    <w:p w14:paraId="7E497B75">
      <w:pPr>
        <w:spacing w:line="560" w:lineRule="exact"/>
        <w:ind w:firstLine="600"/>
        <w:jc w:val="both"/>
      </w:pPr>
      <w:r>
        <w:rPr>
          <w:rFonts w:ascii="仿宋" w:hAnsi="仿宋" w:eastAsia="仿宋" w:cs="仿宋"/>
          <w:b w:val="0"/>
          <w:color w:val="000000"/>
          <w:sz w:val="30"/>
        </w:rPr>
        <w:t>天津市西青区辛口镇综合治理中心（网格化管理中心）部门内设1个职能科室；下辖1个预算单位。</w:t>
      </w:r>
    </w:p>
    <w:p w14:paraId="37390B37">
      <w:pPr>
        <w:spacing w:line="560" w:lineRule="exact"/>
        <w:ind w:firstLine="600"/>
        <w:jc w:val="both"/>
      </w:pPr>
      <w:r>
        <w:rPr>
          <w:rFonts w:ascii="仿宋" w:hAnsi="仿宋" w:eastAsia="仿宋" w:cs="仿宋"/>
          <w:b w:val="0"/>
          <w:color w:val="000000"/>
          <w:sz w:val="30"/>
        </w:rPr>
        <w:t>纳入天津市西青区辛口镇综合治理中心（网格化管理中心）单位2025年部门预算编制范围的预算单位包括：</w:t>
      </w:r>
    </w:p>
    <w:p w14:paraId="67634EC5">
      <w:pPr>
        <w:spacing w:line="560" w:lineRule="exact"/>
        <w:ind w:firstLine="600"/>
        <w:jc w:val="both"/>
      </w:pPr>
      <w:r>
        <w:rPr>
          <w:rFonts w:ascii="仿宋" w:hAnsi="仿宋" w:eastAsia="仿宋" w:cs="仿宋"/>
          <w:b w:val="0"/>
          <w:color w:val="000000"/>
          <w:sz w:val="30"/>
        </w:rPr>
        <w:t>1.天津市西青区辛口镇综合治理中心</w:t>
      </w:r>
    </w:p>
    <w:p w14:paraId="43207EC8">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0788E2D6">
      <w:pPr>
        <w:spacing w:line="560" w:lineRule="exact"/>
        <w:ind w:firstLine="600"/>
        <w:jc w:val="both"/>
      </w:pPr>
      <w:r>
        <w:rPr>
          <w:rFonts w:ascii="黑体" w:hAnsi="黑体" w:eastAsia="黑体" w:cs="黑体"/>
          <w:b/>
          <w:color w:val="000000"/>
          <w:sz w:val="30"/>
        </w:rPr>
        <w:t>一、关于收支总体情况表的说明</w:t>
      </w:r>
    </w:p>
    <w:p w14:paraId="38F3F80B">
      <w:pPr>
        <w:spacing w:line="560" w:lineRule="exact"/>
        <w:ind w:firstLine="600"/>
        <w:jc w:val="both"/>
      </w:pPr>
      <w:r>
        <w:rPr>
          <w:rFonts w:ascii="仿宋" w:hAnsi="仿宋" w:eastAsia="仿宋" w:cs="仿宋"/>
          <w:b w:val="0"/>
          <w:color w:val="000000"/>
          <w:sz w:val="30"/>
        </w:rPr>
        <w:t>按照综合预算的原则，天津市西青区辛口镇综合治理中心（网格化管理中心）单位所有收入和支出均纳入部门预算管理。收入包括：一般公共预算拨款收入550.56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0.39万元、社会保障和就业支出34.37万元、公共安全支出152.00万元、城乡社区支出348.63万元、卫生健康支出15.17万元。天津市西青区辛口镇综合治理中心（网格化管理中心）单位2025年收支总预算550.56万元。</w:t>
      </w:r>
    </w:p>
    <w:p w14:paraId="6EEDFEE5">
      <w:pPr>
        <w:spacing w:line="560" w:lineRule="exact"/>
        <w:ind w:firstLine="600"/>
        <w:jc w:val="both"/>
      </w:pPr>
      <w:r>
        <w:rPr>
          <w:rFonts w:ascii="黑体" w:hAnsi="黑体" w:eastAsia="黑体" w:cs="黑体"/>
          <w:b/>
          <w:color w:val="000000"/>
          <w:sz w:val="30"/>
        </w:rPr>
        <w:t>二、关于收入总体情况表的说明</w:t>
      </w:r>
    </w:p>
    <w:p w14:paraId="31F6F967">
      <w:pPr>
        <w:spacing w:line="560" w:lineRule="exact"/>
        <w:ind w:firstLine="600"/>
        <w:jc w:val="both"/>
      </w:pPr>
      <w:r>
        <w:rPr>
          <w:rFonts w:ascii="仿宋" w:hAnsi="仿宋" w:eastAsia="仿宋" w:cs="仿宋"/>
          <w:b w:val="0"/>
          <w:color w:val="000000"/>
          <w:sz w:val="30"/>
        </w:rPr>
        <w:t>天津市西青区辛口镇综合治理中心（网格化管理中心）单位2025年部门预算收入550.56万元，与上年预算相比增加7.21万元，主要原因是职工人员工资增加。其中：上年结转结余0万元，占0%；一般公共预算550.56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411F77EC">
      <w:pPr>
        <w:spacing w:line="560" w:lineRule="exact"/>
        <w:ind w:firstLine="600"/>
        <w:jc w:val="both"/>
      </w:pPr>
      <w:r>
        <w:rPr>
          <w:rFonts w:ascii="黑体" w:hAnsi="黑体" w:eastAsia="黑体" w:cs="黑体"/>
          <w:b/>
          <w:color w:val="000000"/>
          <w:sz w:val="30"/>
        </w:rPr>
        <w:t>三、关于支出总体情况表的说明</w:t>
      </w:r>
    </w:p>
    <w:p w14:paraId="25AF3822">
      <w:pPr>
        <w:spacing w:line="560" w:lineRule="exact"/>
        <w:ind w:firstLine="600"/>
        <w:jc w:val="both"/>
      </w:pPr>
      <w:r>
        <w:rPr>
          <w:rFonts w:ascii="仿宋" w:hAnsi="仿宋" w:eastAsia="仿宋" w:cs="仿宋"/>
          <w:b w:val="0"/>
          <w:color w:val="000000"/>
          <w:sz w:val="30"/>
        </w:rPr>
        <w:t>天津市西青区辛口镇综合治理中心（网格化管理中心）单位2025年支出预算550.56万元，与上年预算相比增加7.21万元，主要原因是职工人员工资增加。其中：基本支出398.56万元，占72.39%；项目支出152.00万元，占27.61%；事业单位经营支出0万元，占0%；上缴上级支出0万元，占0%；对附属单位补助支出0万元，占0%。</w:t>
      </w:r>
    </w:p>
    <w:p w14:paraId="6F0A6AE6">
      <w:pPr>
        <w:spacing w:line="560" w:lineRule="exact"/>
        <w:ind w:firstLine="600"/>
        <w:jc w:val="both"/>
      </w:pPr>
      <w:r>
        <w:rPr>
          <w:rFonts w:ascii="黑体" w:hAnsi="黑体" w:eastAsia="黑体" w:cs="黑体"/>
          <w:b/>
          <w:color w:val="000000"/>
          <w:sz w:val="30"/>
        </w:rPr>
        <w:t>四、关于财政拨款收支总体情况表的说明</w:t>
      </w:r>
    </w:p>
    <w:p w14:paraId="286C7C94">
      <w:pPr>
        <w:spacing w:line="560" w:lineRule="exact"/>
        <w:ind w:firstLine="600"/>
        <w:jc w:val="both"/>
      </w:pPr>
      <w:r>
        <w:rPr>
          <w:rFonts w:ascii="仿宋" w:hAnsi="仿宋" w:eastAsia="仿宋" w:cs="仿宋"/>
          <w:b w:val="0"/>
          <w:color w:val="000000"/>
          <w:sz w:val="30"/>
        </w:rPr>
        <w:t>天津市西青区辛口镇综合治理中心（网格化管理中心）单位2025年财政拨款收入预算550.56万元，与上年预算相比增加7.21万元，主要原因是增加了人员经费和公用经费。收入包括：一般公共预算拨款收入550.56万元、政府性基金预算拨款收入0万元、上年财政结转结余0万元、国有资本经营预算拨款收入0万元、2025年财政拨款支出预算550.56万元，与上年预算相比增加7.21万元，主要原因是增加了人员经费和公用经费。支出包括：公共安全支出152.00万元 ；教育支出0.39万元 ；社会保障和就业支出34.37万元 ；卫生健康支出15.17万元 ；城乡社区支出348.63万元。</w:t>
      </w:r>
    </w:p>
    <w:p w14:paraId="5125E577">
      <w:pPr>
        <w:spacing w:line="560" w:lineRule="exact"/>
        <w:ind w:firstLine="600"/>
        <w:jc w:val="both"/>
      </w:pPr>
      <w:r>
        <w:rPr>
          <w:rFonts w:ascii="黑体" w:hAnsi="黑体" w:eastAsia="黑体" w:cs="黑体"/>
          <w:b/>
          <w:color w:val="000000"/>
          <w:sz w:val="30"/>
        </w:rPr>
        <w:t>五、关于一般公共预算支出情况表的说明</w:t>
      </w:r>
    </w:p>
    <w:p w14:paraId="21270D0E">
      <w:pPr>
        <w:spacing w:line="560" w:lineRule="exact"/>
        <w:ind w:firstLine="600"/>
        <w:jc w:val="both"/>
      </w:pPr>
      <w:r>
        <w:rPr>
          <w:rFonts w:ascii="楷体" w:hAnsi="楷体" w:eastAsia="楷体" w:cs="楷体"/>
          <w:b/>
          <w:color w:val="000000"/>
          <w:sz w:val="30"/>
        </w:rPr>
        <w:t>（一）总体情况</w:t>
      </w:r>
    </w:p>
    <w:p w14:paraId="161FF820">
      <w:pPr>
        <w:spacing w:line="560" w:lineRule="exact"/>
        <w:ind w:firstLine="600"/>
        <w:jc w:val="both"/>
      </w:pPr>
      <w:r>
        <w:rPr>
          <w:rFonts w:ascii="仿宋" w:hAnsi="仿宋" w:eastAsia="仿宋" w:cs="仿宋"/>
          <w:b w:val="0"/>
          <w:color w:val="000000"/>
          <w:sz w:val="30"/>
        </w:rPr>
        <w:t>天津市西青区辛口镇综合治理中心（网格化管理中心）单位2025年一般公共预算支出550.56万元(上年543.35万元），与上年预算相比增加7.21万元，主要原因是增加了人员经费和公用经费。</w:t>
      </w:r>
    </w:p>
    <w:p w14:paraId="7C212F46">
      <w:pPr>
        <w:spacing w:line="560" w:lineRule="exact"/>
        <w:ind w:firstLine="600"/>
        <w:jc w:val="both"/>
      </w:pPr>
      <w:r>
        <w:rPr>
          <w:rFonts w:ascii="楷体" w:hAnsi="楷体" w:eastAsia="楷体" w:cs="楷体"/>
          <w:b/>
          <w:color w:val="000000"/>
          <w:sz w:val="30"/>
        </w:rPr>
        <w:t>（二）具体情况</w:t>
      </w:r>
    </w:p>
    <w:p w14:paraId="298075FE">
      <w:pPr>
        <w:spacing w:line="560" w:lineRule="exact"/>
        <w:ind w:firstLine="600"/>
        <w:jc w:val="both"/>
      </w:pPr>
      <w:r>
        <w:rPr>
          <w:rFonts w:ascii="仿宋" w:hAnsi="仿宋" w:eastAsia="仿宋" w:cs="仿宋"/>
          <w:b w:val="0"/>
          <w:color w:val="000000"/>
          <w:sz w:val="30"/>
        </w:rPr>
        <w:t>1、“公共安全支出（类）”152.00万元，与上年预算相比增加2.00万元，主要原因是增加了综信经费项目资金。其中：“公安（款）”152.00万元，包括：“其他公安支出（项）”152.00万元，主要用于信访（案）事件处置、化解过程中产生的费用需要及进京赴市接返、值守期间的食宿、租车及聘请第三方过程中所产生的费用等。</w:t>
      </w:r>
    </w:p>
    <w:p w14:paraId="1AEFB5C5">
      <w:pPr>
        <w:spacing w:line="560" w:lineRule="exact"/>
        <w:ind w:firstLine="600"/>
        <w:jc w:val="both"/>
      </w:pPr>
      <w:r>
        <w:rPr>
          <w:rFonts w:ascii="仿宋" w:hAnsi="仿宋" w:eastAsia="仿宋" w:cs="仿宋"/>
          <w:b w:val="0"/>
          <w:color w:val="000000"/>
          <w:sz w:val="30"/>
        </w:rPr>
        <w:t>2、“教育支出（类）”0.39万元，与上年预算相比增加0.26万元，主要原因是增加了培训经费。其中：“进修及培训（款）”0.39万元，包括：“培训支出（项）”0.39万元，主要用于在职人员工资增加。</w:t>
      </w:r>
    </w:p>
    <w:p w14:paraId="66F00AC0">
      <w:pPr>
        <w:spacing w:line="560" w:lineRule="exact"/>
        <w:ind w:firstLine="600"/>
        <w:jc w:val="both"/>
      </w:pPr>
      <w:r>
        <w:rPr>
          <w:rFonts w:ascii="仿宋" w:hAnsi="仿宋" w:eastAsia="仿宋" w:cs="仿宋"/>
          <w:b w:val="0"/>
          <w:color w:val="000000"/>
          <w:sz w:val="30"/>
        </w:rPr>
        <w:t>3、“社会保障和就业支出（类）”34.37万元，与上年预算相比增加34.37万元，主要原因是调整了社保基数，其中：“行政事业单位养老支出（款）”34.37万元，包括：“事业单位离退休（项）”0.89万元，主要用于退休费；“机关事业单位基本养老保险缴费支出（项）”22.32万元，主要用于职工养老保险；“机关事业单位职业年金缴费支出（项）”11.16万元，主要用于职工养老保险。</w:t>
      </w:r>
    </w:p>
    <w:p w14:paraId="1F657966">
      <w:pPr>
        <w:spacing w:line="560" w:lineRule="exact"/>
        <w:ind w:firstLine="600"/>
        <w:jc w:val="both"/>
      </w:pPr>
      <w:r>
        <w:rPr>
          <w:rFonts w:ascii="仿宋" w:hAnsi="仿宋" w:eastAsia="仿宋" w:cs="仿宋"/>
          <w:b w:val="0"/>
          <w:color w:val="000000"/>
          <w:sz w:val="30"/>
        </w:rPr>
        <w:t>4、“卫生健康支出（类）”15.17万元，与上年预算相比减少0.13万元，主要原因是降低了职工补充医疗保险费，其中：“行政事业单位医疗（款）”15.17万元，包括：“事业单位医疗（项）”13.95万元，主要用于降低了职工补充医疗保险费；“其他行政事业单位医疗支出（项）”1.23万元，主要用于降低了职工补充医疗保险费。</w:t>
      </w:r>
    </w:p>
    <w:p w14:paraId="58DE0B57">
      <w:pPr>
        <w:spacing w:line="560" w:lineRule="exact"/>
        <w:ind w:firstLine="600"/>
        <w:jc w:val="both"/>
      </w:pPr>
      <w:r>
        <w:rPr>
          <w:rFonts w:ascii="仿宋" w:hAnsi="仿宋" w:eastAsia="仿宋" w:cs="仿宋"/>
          <w:b w:val="0"/>
          <w:color w:val="000000"/>
          <w:sz w:val="30"/>
        </w:rPr>
        <w:t>5、“城乡社区支出（类）”348.63万元，与上年预算相比增加46.88万元，主要原因是增加了公用经费，其中：“城乡社区管理事务（款）”348.63万元，包括：“机关服务（城乡社区管理事务）（项）”348.63万元，主要用于人员经费和公用经费。</w:t>
      </w:r>
    </w:p>
    <w:p w14:paraId="5EC0B6B5">
      <w:pPr>
        <w:spacing w:line="560" w:lineRule="exact"/>
        <w:ind w:firstLine="600"/>
        <w:jc w:val="both"/>
      </w:pPr>
      <w:r>
        <w:rPr>
          <w:rFonts w:ascii="黑体" w:hAnsi="黑体" w:eastAsia="黑体" w:cs="黑体"/>
          <w:b/>
          <w:color w:val="000000"/>
          <w:sz w:val="30"/>
        </w:rPr>
        <w:t>六、关于一般公共预算基本支出情况表的说明</w:t>
      </w:r>
    </w:p>
    <w:p w14:paraId="6918C88E">
      <w:pPr>
        <w:spacing w:line="560" w:lineRule="exact"/>
        <w:ind w:firstLine="600"/>
        <w:jc w:val="both"/>
      </w:pPr>
      <w:r>
        <w:rPr>
          <w:rFonts w:ascii="仿宋" w:hAnsi="仿宋" w:eastAsia="仿宋" w:cs="仿宋"/>
          <w:b w:val="0"/>
          <w:color w:val="000000"/>
          <w:sz w:val="30"/>
        </w:rPr>
        <w:t>天津市西青区辛口镇综合治理中心（网格化管理中心）单位2025年一般公共预算基本支出 398.56万元，与上年预算相比增加5.21万元，主要原因是增加了人员经费，其中：人员经费 347.75万元，主要包括：基本工资、津贴补贴、绩效工资、机关事业单位基本养老保险缴费、职业年金缴费、职工基本医疗保险缴费、其他社会保障缴费、住房公积金、医疗费、其他工资福利支出、退休费、医疗费补助、其他对个人和家庭的补助等；</w:t>
      </w:r>
    </w:p>
    <w:p w14:paraId="06DC85FB">
      <w:pPr>
        <w:spacing w:line="560" w:lineRule="exact"/>
        <w:ind w:firstLine="600"/>
        <w:jc w:val="both"/>
      </w:pPr>
      <w:r>
        <w:rPr>
          <w:rFonts w:ascii="仿宋" w:hAnsi="仿宋" w:eastAsia="仿宋" w:cs="仿宋"/>
          <w:b w:val="0"/>
          <w:color w:val="000000"/>
          <w:sz w:val="30"/>
        </w:rPr>
        <w:t>公用经费50.81万元，主要包括：办公费、水费、电费、邮电费、物业管理费、差旅费、维修（护）费、培训费、委托业务费、工会经费、福利费、其他交通费用、其他商品和服务支出、办公设备购置等。</w:t>
      </w:r>
    </w:p>
    <w:p w14:paraId="5B155396">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2025年一般公共预算“三公”经费安排0万元，与2024年预算相比增加0.00万元，主要原因是本单位一般公共预算未安排“三公”经费。</w:t>
      </w:r>
    </w:p>
    <w:p w14:paraId="05616BB7">
      <w:pPr>
        <w:spacing w:line="560" w:lineRule="exact"/>
        <w:ind w:firstLine="600"/>
        <w:jc w:val="both"/>
      </w:pPr>
      <w:r>
        <w:rPr>
          <w:rFonts w:ascii="仿宋" w:hAnsi="仿宋" w:eastAsia="仿宋" w:cs="仿宋"/>
          <w:b w:val="0"/>
          <w:color w:val="000000"/>
          <w:sz w:val="30"/>
        </w:rPr>
        <w:t>具体情况：</w:t>
      </w:r>
    </w:p>
    <w:p w14:paraId="774CF95F">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(一)、2025年因公出国（境）费预算0万元，与2024年预算相比增加0.00万元，主要原因是本单位一般公共预算未安排因公出国（境）费经费。</w:t>
      </w:r>
    </w:p>
    <w:p w14:paraId="58DA6CE8">
      <w:pPr>
        <w:spacing w:line="560" w:lineRule="exact"/>
        <w:ind w:firstLine="600"/>
        <w:jc w:val="both"/>
      </w:pPr>
      <w:r>
        <w:rPr>
          <w:rFonts w:ascii="仿宋" w:hAnsi="仿宋" w:eastAsia="仿宋" w:cs="仿宋"/>
          <w:b w:val="0"/>
          <w:color w:val="000000"/>
          <w:sz w:val="30"/>
        </w:rPr>
        <w:t>(二)、2025年公务用车购置及运行费预算0万元，</w:t>
      </w:r>
    </w:p>
    <w:p w14:paraId="7AE6A1FA">
      <w:pPr>
        <w:spacing w:line="560" w:lineRule="exact"/>
        <w:ind w:firstLine="600"/>
        <w:jc w:val="both"/>
      </w:pPr>
      <w:r>
        <w:rPr>
          <w:rFonts w:ascii="仿宋" w:hAnsi="仿宋" w:eastAsia="仿宋" w:cs="仿宋"/>
          <w:b w:val="0"/>
          <w:color w:val="000000"/>
          <w:sz w:val="30"/>
        </w:rPr>
        <w:t>其中公务用车运行费0万元，与2024年预算相比增加0万元，主要原因是本单位一般公共预算未安排公务用车运行费经费；公务用车购置费0万元，与2024年预算相比增加0万元，主要原因是本单位一般公共预算未安排公务用车购置费经费。</w:t>
      </w:r>
    </w:p>
    <w:p w14:paraId="59D41C07">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(三)、2025年公务接待费预算0万元，与2024年预算相比增加0万元，主要原因是本单位一般公共预算未安排公务接待费经费。</w:t>
      </w:r>
    </w:p>
    <w:p w14:paraId="3BC6A4A5">
      <w:pPr>
        <w:spacing w:line="560" w:lineRule="exact"/>
        <w:ind w:firstLine="600"/>
        <w:jc w:val="both"/>
      </w:pPr>
      <w:r>
        <w:rPr>
          <w:rFonts w:ascii="黑体" w:hAnsi="黑体" w:eastAsia="黑体" w:cs="黑体"/>
          <w:b/>
          <w:color w:val="000000"/>
          <w:sz w:val="30"/>
        </w:rPr>
        <w:t>八、关于政府性基金预算支出情况表的说明</w:t>
      </w:r>
    </w:p>
    <w:p w14:paraId="253A1A73">
      <w:pPr>
        <w:spacing w:line="560" w:lineRule="exact"/>
        <w:ind w:firstLine="600"/>
        <w:jc w:val="both"/>
      </w:pPr>
      <w:r>
        <w:rPr>
          <w:rFonts w:ascii="仿宋" w:hAnsi="仿宋" w:eastAsia="仿宋" w:cs="仿宋"/>
          <w:b w:val="0"/>
          <w:color w:val="000000"/>
          <w:sz w:val="30"/>
        </w:rPr>
        <w:t>2025年天津市西青区辛口镇综合治理中心（网格化管理中心）单位预算中没有使用政府性基金预算安排的支出。</w:t>
      </w:r>
    </w:p>
    <w:p w14:paraId="2CA96746">
      <w:pPr>
        <w:spacing w:line="560" w:lineRule="exact"/>
        <w:ind w:firstLine="600"/>
        <w:jc w:val="both"/>
      </w:pPr>
      <w:r>
        <w:rPr>
          <w:rFonts w:ascii="黑体" w:hAnsi="黑体" w:eastAsia="黑体" w:cs="黑体"/>
          <w:b/>
          <w:color w:val="000000"/>
          <w:sz w:val="30"/>
        </w:rPr>
        <w:t>九、关于国有资本经营预算支出情况表的说明</w:t>
      </w:r>
    </w:p>
    <w:p w14:paraId="2406B564">
      <w:pPr>
        <w:spacing w:line="560" w:lineRule="exact"/>
        <w:ind w:firstLine="600"/>
        <w:jc w:val="both"/>
      </w:pPr>
      <w:r>
        <w:rPr>
          <w:rFonts w:ascii="仿宋" w:hAnsi="仿宋" w:eastAsia="仿宋" w:cs="仿宋"/>
          <w:b w:val="0"/>
          <w:color w:val="000000"/>
          <w:sz w:val="30"/>
        </w:rPr>
        <w:t>2025年天津市西青区辛口镇综合治理中心（网格化管理中心）单位预算中没有使用国有资本经营预算预算安排的支出。</w:t>
      </w:r>
    </w:p>
    <w:p w14:paraId="713CA4C3">
      <w:pPr>
        <w:spacing w:line="560" w:lineRule="exact"/>
        <w:ind w:firstLine="600"/>
        <w:jc w:val="both"/>
      </w:pPr>
      <w:r>
        <w:rPr>
          <w:rFonts w:ascii="黑体" w:hAnsi="黑体" w:eastAsia="黑体" w:cs="黑体"/>
          <w:b/>
          <w:color w:val="000000"/>
          <w:sz w:val="30"/>
        </w:rPr>
        <w:t>十、其他重要事项的情况说明</w:t>
      </w:r>
    </w:p>
    <w:p w14:paraId="7DB7D8C9">
      <w:pPr>
        <w:spacing w:line="560" w:lineRule="exact"/>
        <w:ind w:firstLine="600"/>
        <w:jc w:val="both"/>
      </w:pPr>
      <w:r>
        <w:rPr>
          <w:rFonts w:ascii="楷体" w:hAnsi="楷体" w:eastAsia="楷体" w:cs="楷体"/>
          <w:b/>
          <w:color w:val="000000"/>
          <w:sz w:val="30"/>
        </w:rPr>
        <w:t>（一）机关运行经费。</w:t>
      </w:r>
    </w:p>
    <w:p w14:paraId="3FF0469A">
      <w:pPr>
        <w:spacing w:line="560" w:lineRule="exact"/>
        <w:ind w:firstLine="600"/>
        <w:jc w:val="both"/>
      </w:pPr>
      <w:r>
        <w:rPr>
          <w:rFonts w:ascii="仿宋" w:hAnsi="仿宋" w:eastAsia="仿宋" w:cs="仿宋"/>
          <w:b w:val="0"/>
          <w:color w:val="000000"/>
          <w:sz w:val="30"/>
        </w:rPr>
        <w:t>本部门2025年未安排机关运行经费预算。</w:t>
      </w:r>
    </w:p>
    <w:p w14:paraId="3A2E1F7C">
      <w:p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（二）政府采购情况</w:t>
      </w:r>
    </w:p>
    <w:p w14:paraId="26556A06">
      <w:pPr>
        <w:spacing w:line="560" w:lineRule="exact"/>
        <w:ind w:firstLine="600"/>
        <w:jc w:val="both"/>
      </w:pPr>
      <w:bookmarkStart w:id="0" w:name="_GoBack"/>
      <w:bookmarkEnd w:id="0"/>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14:paraId="37B199F4">
      <w:pPr>
        <w:spacing w:line="560" w:lineRule="exact"/>
        <w:ind w:firstLine="600"/>
        <w:jc w:val="both"/>
      </w:pPr>
      <w:r>
        <w:rPr>
          <w:rFonts w:ascii="楷体" w:hAnsi="楷体" w:eastAsia="楷体" w:cs="楷体"/>
          <w:b/>
          <w:color w:val="000000"/>
          <w:sz w:val="30"/>
        </w:rPr>
        <w:t>（三）国有资产占用情况</w:t>
      </w:r>
    </w:p>
    <w:p w14:paraId="289D0FC2">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510E12FF">
      <w:pPr>
        <w:spacing w:line="560" w:lineRule="exact"/>
        <w:ind w:firstLine="600"/>
        <w:jc w:val="both"/>
      </w:pPr>
      <w:r>
        <w:rPr>
          <w:rFonts w:ascii="楷体" w:hAnsi="楷体" w:eastAsia="楷体" w:cs="楷体"/>
          <w:b/>
          <w:color w:val="000000"/>
          <w:sz w:val="30"/>
        </w:rPr>
        <w:t>（四）预算绩效情况说明。</w:t>
      </w:r>
    </w:p>
    <w:p w14:paraId="239A763F">
      <w:pPr>
        <w:spacing w:line="560" w:lineRule="exact"/>
        <w:ind w:firstLine="600"/>
        <w:jc w:val="both"/>
      </w:pPr>
      <w:r>
        <w:rPr>
          <w:rFonts w:ascii="仿宋" w:hAnsi="仿宋" w:eastAsia="仿宋" w:cs="仿宋"/>
          <w:b w:val="0"/>
          <w:color w:val="000000"/>
          <w:sz w:val="30"/>
        </w:rPr>
        <w:t>天津市西青区辛口镇综合治理中心（网格化管理中心）单位2025年实行绩效目标管理的项目1个，涉及预算金额152万元。</w:t>
      </w:r>
    </w:p>
    <w:p w14:paraId="24B4EA2F">
      <w:pPr>
        <w:pageBreakBefore/>
        <w:spacing w:line="560" w:lineRule="exact"/>
        <w:ind w:firstLine="0"/>
        <w:jc w:val="center"/>
      </w:pPr>
      <w:r>
        <w:rPr>
          <w:rFonts w:ascii="黑体" w:hAnsi="黑体" w:eastAsia="黑体" w:cs="黑体"/>
          <w:b/>
          <w:color w:val="000000"/>
          <w:sz w:val="32"/>
        </w:rPr>
        <w:t>第三部分  名词解释</w:t>
      </w:r>
    </w:p>
    <w:p w14:paraId="3B8292CA">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6C8C7239">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39FABF54">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78AA9D4D">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E1B082">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57634047">
      <w:pPr>
        <w:spacing w:line="560" w:lineRule="exact"/>
        <w:ind w:firstLine="0"/>
        <w:jc w:val="both"/>
      </w:pPr>
      <w:r>
        <w:rPr>
          <w:rFonts w:ascii="楷体" w:hAnsi="楷体" w:eastAsia="楷体" w:cs="楷体"/>
          <w:b/>
          <w:color w:val="000000"/>
          <w:sz w:val="30"/>
        </w:rPr>
        <w:t>一、《部门收支总体情况表》</w:t>
      </w:r>
    </w:p>
    <w:p w14:paraId="57E9E294">
      <w:pPr>
        <w:spacing w:line="560" w:lineRule="exact"/>
        <w:ind w:firstLine="0"/>
        <w:jc w:val="both"/>
      </w:pPr>
      <w:r>
        <w:rPr>
          <w:rFonts w:ascii="楷体" w:hAnsi="楷体" w:eastAsia="楷体" w:cs="楷体"/>
          <w:b/>
          <w:color w:val="000000"/>
          <w:sz w:val="30"/>
        </w:rPr>
        <w:t>二、《部门收入总体情况表》</w:t>
      </w:r>
    </w:p>
    <w:p w14:paraId="72BF31F5">
      <w:pPr>
        <w:spacing w:line="560" w:lineRule="exact"/>
        <w:ind w:firstLine="0"/>
        <w:jc w:val="both"/>
      </w:pPr>
      <w:r>
        <w:rPr>
          <w:rFonts w:ascii="楷体" w:hAnsi="楷体" w:eastAsia="楷体" w:cs="楷体"/>
          <w:b/>
          <w:color w:val="000000"/>
          <w:sz w:val="30"/>
        </w:rPr>
        <w:t>三、《部门支出总体情况表》</w:t>
      </w:r>
    </w:p>
    <w:p w14:paraId="2633B89E">
      <w:pPr>
        <w:spacing w:line="560" w:lineRule="exact"/>
        <w:ind w:firstLine="0"/>
        <w:jc w:val="both"/>
      </w:pPr>
      <w:r>
        <w:rPr>
          <w:rFonts w:ascii="楷体" w:hAnsi="楷体" w:eastAsia="楷体" w:cs="楷体"/>
          <w:b/>
          <w:color w:val="000000"/>
          <w:sz w:val="30"/>
        </w:rPr>
        <w:t>四、《财政拨款收支总体情况表》</w:t>
      </w:r>
    </w:p>
    <w:p w14:paraId="62633709">
      <w:pPr>
        <w:spacing w:line="560" w:lineRule="exact"/>
        <w:ind w:firstLine="0"/>
        <w:jc w:val="both"/>
      </w:pPr>
      <w:r>
        <w:rPr>
          <w:rFonts w:ascii="楷体" w:hAnsi="楷体" w:eastAsia="楷体" w:cs="楷体"/>
          <w:b/>
          <w:color w:val="000000"/>
          <w:sz w:val="30"/>
        </w:rPr>
        <w:t>五、《一般公共预算支出情况表》</w:t>
      </w:r>
    </w:p>
    <w:p w14:paraId="09CB6F56">
      <w:pPr>
        <w:spacing w:line="560" w:lineRule="exact"/>
        <w:ind w:firstLine="0"/>
        <w:jc w:val="both"/>
      </w:pPr>
      <w:r>
        <w:rPr>
          <w:rFonts w:ascii="楷体" w:hAnsi="楷体" w:eastAsia="楷体" w:cs="楷体"/>
          <w:b/>
          <w:color w:val="000000"/>
          <w:sz w:val="30"/>
        </w:rPr>
        <w:t>六、《一般公共预算基本支出情况表》</w:t>
      </w:r>
    </w:p>
    <w:p w14:paraId="60BFC4F5">
      <w:pPr>
        <w:spacing w:line="560" w:lineRule="exact"/>
        <w:ind w:firstLine="0"/>
        <w:jc w:val="both"/>
      </w:pPr>
      <w:r>
        <w:rPr>
          <w:rFonts w:ascii="楷体" w:hAnsi="楷体" w:eastAsia="楷体" w:cs="楷体"/>
          <w:b/>
          <w:color w:val="000000"/>
          <w:sz w:val="30"/>
        </w:rPr>
        <w:t>七、《一般公共预算“三公”经费支出情况表》</w:t>
      </w:r>
    </w:p>
    <w:p w14:paraId="00C7C0D6">
      <w:pPr>
        <w:spacing w:line="560" w:lineRule="exact"/>
        <w:ind w:firstLine="0"/>
        <w:jc w:val="both"/>
      </w:pPr>
      <w:r>
        <w:rPr>
          <w:rFonts w:ascii="楷体" w:hAnsi="楷体" w:eastAsia="楷体" w:cs="楷体"/>
          <w:b/>
          <w:color w:val="000000"/>
          <w:sz w:val="30"/>
        </w:rPr>
        <w:t>八、《政府性基金预算支出情况表》</w:t>
      </w:r>
    </w:p>
    <w:p w14:paraId="3F309765">
      <w:pPr>
        <w:spacing w:line="560" w:lineRule="exact"/>
        <w:ind w:firstLine="0"/>
        <w:jc w:val="both"/>
      </w:pPr>
      <w:r>
        <w:rPr>
          <w:rFonts w:ascii="楷体" w:hAnsi="楷体" w:eastAsia="楷体" w:cs="楷体"/>
          <w:b/>
          <w:color w:val="000000"/>
          <w:sz w:val="30"/>
        </w:rPr>
        <w:t>九、《国有资本经营预算支出情况表》</w:t>
      </w:r>
    </w:p>
    <w:p w14:paraId="6C1CCD0C">
      <w:pPr>
        <w:spacing w:line="560" w:lineRule="exact"/>
        <w:ind w:firstLine="0"/>
        <w:jc w:val="both"/>
      </w:pPr>
      <w:r>
        <w:rPr>
          <w:rFonts w:ascii="楷体" w:hAnsi="楷体" w:eastAsia="楷体" w:cs="楷体"/>
          <w:b/>
          <w:color w:val="000000"/>
          <w:sz w:val="30"/>
        </w:rPr>
        <w:t>十、《项目支出表》</w:t>
      </w:r>
    </w:p>
    <w:p w14:paraId="152739FB">
      <w:pPr>
        <w:spacing w:line="560" w:lineRule="exact"/>
        <w:ind w:firstLine="0"/>
        <w:jc w:val="both"/>
      </w:pPr>
      <w:r>
        <w:rPr>
          <w:rFonts w:ascii="楷体" w:hAnsi="楷体" w:eastAsia="楷体" w:cs="楷体"/>
          <w:b/>
          <w:color w:val="000000"/>
          <w:sz w:val="30"/>
        </w:rPr>
        <w:t>十一、关于空表说明</w:t>
      </w:r>
    </w:p>
    <w:p w14:paraId="11C2D624">
      <w:pPr>
        <w:pageBreakBefore/>
        <w:spacing w:line="560" w:lineRule="exact"/>
        <w:ind w:firstLine="0"/>
        <w:jc w:val="both"/>
      </w:pPr>
      <w:r>
        <w:rPr>
          <w:rFonts w:ascii="仿宋" w:hAnsi="仿宋" w:eastAsia="仿宋" w:cs="仿宋"/>
          <w:b/>
          <w:color w:val="000000"/>
          <w:sz w:val="30"/>
        </w:rPr>
        <w:t>十一、关于空表的说明</w:t>
      </w:r>
    </w:p>
    <w:p w14:paraId="402726CF">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78ED2321">
      <w:pPr>
        <w:spacing w:line="560" w:lineRule="exact"/>
        <w:ind w:firstLine="600"/>
        <w:jc w:val="both"/>
      </w:pPr>
      <w:r>
        <w:rPr>
          <w:rFonts w:ascii="仿宋" w:hAnsi="仿宋" w:eastAsia="仿宋" w:cs="仿宋"/>
          <w:b w:val="0"/>
          <w:color w:val="000000"/>
          <w:sz w:val="30"/>
        </w:rPr>
        <w:t>本单位2025年政府性基金预算支出情况表为空表</w:t>
      </w:r>
    </w:p>
    <w:p w14:paraId="271E2D58">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58943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3908</Words>
  <Characters>4268</Characters>
  <TotalTime>2</TotalTime>
  <ScaleCrop>false</ScaleCrop>
  <LinksUpToDate>false</LinksUpToDate>
  <CharactersWithSpaces>4294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2025-03-20T08:35:00Z</dcterms:created>
  <dc:creator>Apache POI</dc:creator>
  <cp:lastModifiedBy>等待</cp:lastModifiedBy>
  <dcterms:modified xsi:type="dcterms:W3CDTF">2025-03-24T05:50:21Z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533A8070B5914FECAD979063ABF8D82B_12</vt:lpwstr>
  </property>
</Properties>
</file>