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3584F">
      <w:pPr>
        <w:spacing w:line="2600" w:lineRule="exact"/>
        <w:ind w:firstLine="0"/>
        <w:jc w:val="center"/>
      </w:pPr>
      <w:r>
        <w:rPr>
          <w:rFonts w:ascii="方正小标宋简体" w:hAnsi="方正小标宋简体" w:eastAsia="方正小标宋简体" w:cs="方正小标宋简体"/>
          <w:b/>
          <w:color w:val="000000"/>
          <w:sz w:val="48"/>
        </w:rPr>
        <w:t>天津市西青区辛口镇教育服务中心</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2025年度单位预算公开</w:t>
      </w:r>
    </w:p>
    <w:p w14:paraId="109F0EE0">
      <w:pPr>
        <w:pageBreakBefore/>
        <w:spacing w:line="560" w:lineRule="exact"/>
        <w:ind w:firstLine="0"/>
        <w:jc w:val="center"/>
      </w:pPr>
      <w:r>
        <w:rPr>
          <w:rFonts w:ascii="黑体" w:hAnsi="黑体" w:eastAsia="黑体" w:cs="黑体"/>
          <w:b/>
          <w:color w:val="000000"/>
          <w:sz w:val="44"/>
        </w:rPr>
        <w:t>目    录</w:t>
      </w:r>
    </w:p>
    <w:p w14:paraId="2A10AD7A">
      <w:pPr>
        <w:spacing w:line="560" w:lineRule="exact"/>
        <w:ind w:firstLine="900"/>
        <w:jc w:val="both"/>
      </w:pPr>
      <w:r>
        <w:rPr>
          <w:rFonts w:ascii="仿宋" w:hAnsi="仿宋" w:eastAsia="仿宋" w:cs="仿宋"/>
          <w:b/>
          <w:color w:val="000000"/>
          <w:sz w:val="30"/>
        </w:rPr>
        <w:t>第一部分  概况</w:t>
      </w:r>
    </w:p>
    <w:p w14:paraId="369B1A33">
      <w:pPr>
        <w:spacing w:line="560" w:lineRule="exact"/>
        <w:ind w:firstLine="900"/>
        <w:jc w:val="both"/>
      </w:pPr>
      <w:r>
        <w:rPr>
          <w:rFonts w:ascii="仿宋" w:hAnsi="仿宋" w:eastAsia="仿宋" w:cs="仿宋"/>
          <w:b w:val="0"/>
          <w:color w:val="000000"/>
          <w:sz w:val="30"/>
        </w:rPr>
        <w:t>一、主要职责</w:t>
      </w:r>
    </w:p>
    <w:p w14:paraId="5B310C7B">
      <w:pPr>
        <w:spacing w:line="560" w:lineRule="exact"/>
        <w:ind w:firstLine="900"/>
        <w:jc w:val="both"/>
      </w:pPr>
      <w:r>
        <w:rPr>
          <w:rFonts w:ascii="仿宋" w:hAnsi="仿宋" w:eastAsia="仿宋" w:cs="仿宋"/>
          <w:b w:val="0"/>
          <w:color w:val="000000"/>
          <w:sz w:val="30"/>
        </w:rPr>
        <w:t>二、机构设置情况</w:t>
      </w:r>
    </w:p>
    <w:p w14:paraId="0D6C44B3">
      <w:pPr>
        <w:spacing w:line="560" w:lineRule="exact"/>
        <w:ind w:firstLine="900"/>
        <w:jc w:val="both"/>
      </w:pPr>
      <w:r>
        <w:rPr>
          <w:rFonts w:ascii="仿宋" w:hAnsi="仿宋" w:eastAsia="仿宋" w:cs="仿宋"/>
          <w:b/>
          <w:color w:val="000000"/>
          <w:sz w:val="30"/>
        </w:rPr>
        <w:t>第二部分  2025年单位情况说明</w:t>
      </w:r>
    </w:p>
    <w:p w14:paraId="0BB14363">
      <w:pPr>
        <w:spacing w:line="560" w:lineRule="exact"/>
        <w:ind w:firstLine="900"/>
        <w:jc w:val="both"/>
      </w:pPr>
      <w:r>
        <w:rPr>
          <w:rFonts w:ascii="仿宋" w:hAnsi="仿宋" w:eastAsia="仿宋" w:cs="仿宋"/>
          <w:b w:val="0"/>
          <w:color w:val="000000"/>
          <w:sz w:val="30"/>
        </w:rPr>
        <w:t>一、关于收支总体情况表的说明</w:t>
      </w:r>
    </w:p>
    <w:p w14:paraId="77B6A424">
      <w:pPr>
        <w:spacing w:line="560" w:lineRule="exact"/>
        <w:ind w:firstLine="900"/>
        <w:jc w:val="both"/>
      </w:pPr>
      <w:r>
        <w:rPr>
          <w:rFonts w:ascii="仿宋" w:hAnsi="仿宋" w:eastAsia="仿宋" w:cs="仿宋"/>
          <w:b w:val="0"/>
          <w:color w:val="000000"/>
          <w:sz w:val="30"/>
        </w:rPr>
        <w:t>二、关于收入总体情况表的说明</w:t>
      </w:r>
    </w:p>
    <w:p w14:paraId="3C2F07CA">
      <w:pPr>
        <w:spacing w:line="560" w:lineRule="exact"/>
        <w:ind w:firstLine="900"/>
        <w:jc w:val="both"/>
      </w:pPr>
      <w:r>
        <w:rPr>
          <w:rFonts w:ascii="仿宋" w:hAnsi="仿宋" w:eastAsia="仿宋" w:cs="仿宋"/>
          <w:b w:val="0"/>
          <w:color w:val="000000"/>
          <w:sz w:val="30"/>
        </w:rPr>
        <w:t>三、关于支出总体情况表的说明</w:t>
      </w:r>
    </w:p>
    <w:p w14:paraId="71D3457A">
      <w:pPr>
        <w:spacing w:line="560" w:lineRule="exact"/>
        <w:ind w:firstLine="900"/>
        <w:jc w:val="both"/>
      </w:pPr>
      <w:r>
        <w:rPr>
          <w:rFonts w:ascii="仿宋" w:hAnsi="仿宋" w:eastAsia="仿宋" w:cs="仿宋"/>
          <w:b w:val="0"/>
          <w:color w:val="000000"/>
          <w:sz w:val="30"/>
        </w:rPr>
        <w:t>四、关于财政拨款收支总体情况表的说明</w:t>
      </w:r>
    </w:p>
    <w:p w14:paraId="3F19EC70">
      <w:pPr>
        <w:spacing w:line="560" w:lineRule="exact"/>
        <w:ind w:firstLine="900"/>
        <w:jc w:val="both"/>
      </w:pPr>
      <w:r>
        <w:rPr>
          <w:rFonts w:ascii="仿宋" w:hAnsi="仿宋" w:eastAsia="仿宋" w:cs="仿宋"/>
          <w:b w:val="0"/>
          <w:color w:val="000000"/>
          <w:sz w:val="30"/>
        </w:rPr>
        <w:t>五、关于一般公共预算支出情况表的说明</w:t>
      </w:r>
    </w:p>
    <w:p w14:paraId="7DEF8F8E">
      <w:pPr>
        <w:spacing w:line="560" w:lineRule="exact"/>
        <w:ind w:firstLine="900"/>
        <w:jc w:val="both"/>
      </w:pPr>
      <w:r>
        <w:rPr>
          <w:rFonts w:ascii="仿宋" w:hAnsi="仿宋" w:eastAsia="仿宋" w:cs="仿宋"/>
          <w:b w:val="0"/>
          <w:color w:val="000000"/>
          <w:sz w:val="30"/>
        </w:rPr>
        <w:t>六、关于一般公共预算基本支出情况表的说明</w:t>
      </w:r>
    </w:p>
    <w:p w14:paraId="5832ADCA">
      <w:pPr>
        <w:spacing w:line="560" w:lineRule="exact"/>
        <w:ind w:firstLine="900"/>
        <w:jc w:val="both"/>
      </w:pPr>
      <w:r>
        <w:rPr>
          <w:rFonts w:ascii="仿宋" w:hAnsi="仿宋" w:eastAsia="仿宋" w:cs="仿宋"/>
          <w:b w:val="0"/>
          <w:color w:val="000000"/>
          <w:sz w:val="30"/>
        </w:rPr>
        <w:t>七、关于一般公共预算“三公”经费支出情况表的说明</w:t>
      </w:r>
    </w:p>
    <w:p w14:paraId="2B67DD0A">
      <w:pPr>
        <w:spacing w:line="560" w:lineRule="exact"/>
        <w:ind w:firstLine="900"/>
        <w:jc w:val="both"/>
      </w:pPr>
      <w:r>
        <w:rPr>
          <w:rFonts w:ascii="仿宋" w:hAnsi="仿宋" w:eastAsia="仿宋" w:cs="仿宋"/>
          <w:b w:val="0"/>
          <w:color w:val="000000"/>
          <w:sz w:val="30"/>
        </w:rPr>
        <w:t>八、关于政府性基金预算支出情况表的说明</w:t>
      </w:r>
    </w:p>
    <w:p w14:paraId="70F8981C">
      <w:pPr>
        <w:spacing w:line="560" w:lineRule="exact"/>
        <w:ind w:firstLine="900"/>
        <w:jc w:val="both"/>
      </w:pPr>
      <w:r>
        <w:rPr>
          <w:rFonts w:ascii="仿宋" w:hAnsi="仿宋" w:eastAsia="仿宋" w:cs="仿宋"/>
          <w:b w:val="0"/>
          <w:color w:val="000000"/>
          <w:sz w:val="30"/>
        </w:rPr>
        <w:t>九、关于国有资本经营预算支出情况表的说明</w:t>
      </w:r>
    </w:p>
    <w:p w14:paraId="1D7F91D2">
      <w:pPr>
        <w:spacing w:line="560" w:lineRule="exact"/>
        <w:ind w:firstLine="900"/>
        <w:jc w:val="both"/>
      </w:pPr>
      <w:r>
        <w:rPr>
          <w:rFonts w:ascii="仿宋" w:hAnsi="仿宋" w:eastAsia="仿宋" w:cs="仿宋"/>
          <w:b w:val="0"/>
          <w:color w:val="000000"/>
          <w:sz w:val="30"/>
        </w:rPr>
        <w:t>十、其他重要事项的情况说明</w:t>
      </w:r>
    </w:p>
    <w:p w14:paraId="307E288C">
      <w:pPr>
        <w:spacing w:line="560" w:lineRule="exact"/>
        <w:ind w:firstLine="900"/>
        <w:jc w:val="both"/>
      </w:pPr>
      <w:r>
        <w:rPr>
          <w:rFonts w:ascii="仿宋" w:hAnsi="仿宋" w:eastAsia="仿宋" w:cs="仿宋"/>
          <w:b/>
          <w:color w:val="000000"/>
          <w:sz w:val="30"/>
        </w:rPr>
        <w:t>第三部分  名词解释</w:t>
      </w:r>
    </w:p>
    <w:p w14:paraId="563826C7">
      <w:pPr>
        <w:spacing w:line="560" w:lineRule="exact"/>
        <w:ind w:firstLine="900"/>
        <w:jc w:val="both"/>
      </w:pPr>
      <w:r>
        <w:rPr>
          <w:rFonts w:ascii="仿宋" w:hAnsi="仿宋" w:eastAsia="仿宋" w:cs="仿宋"/>
          <w:b/>
          <w:color w:val="000000"/>
          <w:sz w:val="30"/>
        </w:rPr>
        <w:t>第四部分  2025年单位预算表</w:t>
      </w:r>
    </w:p>
    <w:p w14:paraId="285F84E3">
      <w:pPr>
        <w:spacing w:line="560" w:lineRule="exact"/>
        <w:ind w:firstLine="900"/>
        <w:jc w:val="both"/>
      </w:pPr>
      <w:r>
        <w:rPr>
          <w:rFonts w:ascii="仿宋" w:hAnsi="仿宋" w:eastAsia="仿宋" w:cs="仿宋"/>
          <w:b w:val="0"/>
          <w:color w:val="000000"/>
          <w:sz w:val="30"/>
        </w:rPr>
        <w:t>一、部门收支总体情况表</w:t>
      </w:r>
    </w:p>
    <w:p w14:paraId="558EA27B">
      <w:pPr>
        <w:spacing w:line="560" w:lineRule="exact"/>
        <w:ind w:firstLine="900"/>
        <w:jc w:val="both"/>
      </w:pPr>
      <w:r>
        <w:rPr>
          <w:rFonts w:ascii="仿宋" w:hAnsi="仿宋" w:eastAsia="仿宋" w:cs="仿宋"/>
          <w:b w:val="0"/>
          <w:color w:val="000000"/>
          <w:sz w:val="30"/>
        </w:rPr>
        <w:t>二、部门收入总体情况表</w:t>
      </w:r>
    </w:p>
    <w:p w14:paraId="08FF6444">
      <w:pPr>
        <w:spacing w:line="560" w:lineRule="exact"/>
        <w:ind w:firstLine="900"/>
        <w:jc w:val="both"/>
      </w:pPr>
      <w:r>
        <w:rPr>
          <w:rFonts w:ascii="仿宋" w:hAnsi="仿宋" w:eastAsia="仿宋" w:cs="仿宋"/>
          <w:b w:val="0"/>
          <w:color w:val="000000"/>
          <w:sz w:val="30"/>
        </w:rPr>
        <w:t>三、部门支出总体情况表</w:t>
      </w:r>
    </w:p>
    <w:p w14:paraId="0B707035">
      <w:pPr>
        <w:spacing w:line="560" w:lineRule="exact"/>
        <w:ind w:firstLine="900"/>
        <w:jc w:val="both"/>
      </w:pPr>
      <w:r>
        <w:rPr>
          <w:rFonts w:ascii="仿宋" w:hAnsi="仿宋" w:eastAsia="仿宋" w:cs="仿宋"/>
          <w:b w:val="0"/>
          <w:color w:val="000000"/>
          <w:sz w:val="30"/>
        </w:rPr>
        <w:t>四、财政拨款收支总体情况表</w:t>
      </w:r>
    </w:p>
    <w:p w14:paraId="22B30ECA">
      <w:pPr>
        <w:spacing w:line="560" w:lineRule="exact"/>
        <w:ind w:firstLine="900"/>
        <w:jc w:val="both"/>
      </w:pPr>
      <w:r>
        <w:rPr>
          <w:rFonts w:ascii="仿宋" w:hAnsi="仿宋" w:eastAsia="仿宋" w:cs="仿宋"/>
          <w:b w:val="0"/>
          <w:color w:val="000000"/>
          <w:sz w:val="30"/>
        </w:rPr>
        <w:t>五、一般公共预算支出情况表</w:t>
      </w:r>
    </w:p>
    <w:p w14:paraId="71FE46F4">
      <w:pPr>
        <w:spacing w:line="560" w:lineRule="exact"/>
        <w:ind w:firstLine="900"/>
        <w:jc w:val="both"/>
      </w:pPr>
      <w:r>
        <w:rPr>
          <w:rFonts w:ascii="仿宋" w:hAnsi="仿宋" w:eastAsia="仿宋" w:cs="仿宋"/>
          <w:b w:val="0"/>
          <w:color w:val="000000"/>
          <w:sz w:val="30"/>
        </w:rPr>
        <w:t>六、一般公共预算基本支出情况表</w:t>
      </w:r>
    </w:p>
    <w:p w14:paraId="50AEEFBB">
      <w:pPr>
        <w:spacing w:line="560" w:lineRule="exact"/>
        <w:ind w:firstLine="900"/>
        <w:jc w:val="both"/>
      </w:pPr>
      <w:r>
        <w:rPr>
          <w:rFonts w:ascii="仿宋" w:hAnsi="仿宋" w:eastAsia="仿宋" w:cs="仿宋"/>
          <w:b w:val="0"/>
          <w:color w:val="000000"/>
          <w:sz w:val="30"/>
        </w:rPr>
        <w:t>七、一般公共预算“三公”经费支出情况表</w:t>
      </w:r>
    </w:p>
    <w:p w14:paraId="060D25FF">
      <w:pPr>
        <w:spacing w:line="560" w:lineRule="exact"/>
        <w:ind w:firstLine="900"/>
        <w:jc w:val="both"/>
      </w:pPr>
      <w:r>
        <w:rPr>
          <w:rFonts w:ascii="仿宋" w:hAnsi="仿宋" w:eastAsia="仿宋" w:cs="仿宋"/>
          <w:b w:val="0"/>
          <w:color w:val="000000"/>
          <w:sz w:val="30"/>
        </w:rPr>
        <w:t>八、政府性基金预算支出情况表</w:t>
      </w:r>
    </w:p>
    <w:p w14:paraId="0A645117">
      <w:pPr>
        <w:spacing w:line="560" w:lineRule="exact"/>
        <w:ind w:firstLine="900"/>
        <w:jc w:val="both"/>
      </w:pPr>
      <w:r>
        <w:rPr>
          <w:rFonts w:ascii="仿宋" w:hAnsi="仿宋" w:eastAsia="仿宋" w:cs="仿宋"/>
          <w:b w:val="0"/>
          <w:color w:val="000000"/>
          <w:sz w:val="30"/>
        </w:rPr>
        <w:t>九、国有资本经营预算支出情况表</w:t>
      </w:r>
    </w:p>
    <w:p w14:paraId="74330FAC">
      <w:pPr>
        <w:spacing w:line="560" w:lineRule="exact"/>
        <w:ind w:firstLine="900"/>
        <w:jc w:val="both"/>
      </w:pPr>
      <w:r>
        <w:rPr>
          <w:rFonts w:ascii="仿宋" w:hAnsi="仿宋" w:eastAsia="仿宋" w:cs="仿宋"/>
          <w:b w:val="0"/>
          <w:color w:val="000000"/>
          <w:sz w:val="30"/>
        </w:rPr>
        <w:t>十、项目支出表</w:t>
      </w:r>
    </w:p>
    <w:p w14:paraId="77A494B5">
      <w:pPr>
        <w:spacing w:line="560" w:lineRule="exact"/>
        <w:ind w:firstLine="900"/>
        <w:jc w:val="both"/>
      </w:pPr>
      <w:r>
        <w:rPr>
          <w:rFonts w:ascii="仿宋" w:hAnsi="仿宋" w:eastAsia="仿宋" w:cs="仿宋"/>
          <w:b w:val="0"/>
          <w:color w:val="000000"/>
          <w:sz w:val="30"/>
        </w:rPr>
        <w:t>十一、关于空表的说明</w:t>
      </w:r>
    </w:p>
    <w:p w14:paraId="2E382CA7">
      <w:pPr>
        <w:pageBreakBefore/>
        <w:spacing w:line="560" w:lineRule="exact"/>
        <w:ind w:firstLine="0"/>
        <w:jc w:val="center"/>
      </w:pPr>
      <w:r>
        <w:rPr>
          <w:rFonts w:ascii="方正小标宋简体" w:hAnsi="方正小标宋简体" w:eastAsia="方正小标宋简体" w:cs="方正小标宋简体"/>
          <w:b/>
          <w:color w:val="000000"/>
          <w:sz w:val="48"/>
        </w:rPr>
        <w:t>第一部分 概况</w:t>
      </w:r>
    </w:p>
    <w:p w14:paraId="7FAABF7C">
      <w:pPr>
        <w:spacing w:line="560" w:lineRule="exact"/>
        <w:ind w:firstLine="600"/>
        <w:jc w:val="both"/>
      </w:pPr>
      <w:r>
        <w:rPr>
          <w:rFonts w:ascii="黑体" w:hAnsi="黑体" w:eastAsia="黑体" w:cs="黑体"/>
          <w:b/>
          <w:color w:val="353232"/>
          <w:sz w:val="30"/>
        </w:rPr>
        <w:t>一、主要职责</w:t>
      </w:r>
    </w:p>
    <w:p w14:paraId="2CCBFE30">
      <w:pPr>
        <w:spacing w:line="560" w:lineRule="exact"/>
        <w:ind w:firstLine="600"/>
        <w:jc w:val="both"/>
      </w:pPr>
      <w:r>
        <w:rPr>
          <w:rFonts w:ascii="仿宋" w:hAnsi="仿宋" w:eastAsia="仿宋" w:cs="仿宋"/>
          <w:b w:val="0"/>
          <w:color w:val="000000"/>
          <w:sz w:val="30"/>
        </w:rPr>
        <w:t>本单位为教育局下属事业单位，负责贯彻党的教育方针，坚持社会主义办学方向，在本镇对各中小学、幼儿园、成人文化学校和培训机构开展服务：负责配合人民政府和区教育局依法动员组织适龄儿童入学，严格控制学生辍学，依法保证适龄儿童接受九年义务教育；负责社区教育与服务及精神文明建设；负责科学管理，合理使用本单位的设备设施和经费。本单位的财务活动在教服中心主任的领导下，由镇财务部门统一管理。坚决贯彻执行党和国家的财政方针政策和各项财务规章制度，严格按要求制定本单位财务规章制度并组织实施，负责编制财务年度预决算，负责本单位会计核算、预算和财务日常收支业务，配合有关单位做好对本单位资产的管理，负责审核本单位各项费用开支范围和教职工工资、津贴等按时发放，根据国家规定负责做好单位职工个人所得税、公积金、各种社会保险的代扣代缴工作。</w:t>
      </w:r>
    </w:p>
    <w:p w14:paraId="7F25F798">
      <w:pPr>
        <w:spacing w:line="560" w:lineRule="exact"/>
        <w:ind w:firstLine="600"/>
        <w:jc w:val="both"/>
      </w:pPr>
      <w:r>
        <w:rPr>
          <w:rFonts w:ascii="黑体" w:hAnsi="黑体" w:eastAsia="黑体" w:cs="黑体"/>
          <w:b/>
          <w:color w:val="000000"/>
          <w:sz w:val="30"/>
        </w:rPr>
        <w:t>二、机构设置情况</w:t>
      </w:r>
    </w:p>
    <w:p w14:paraId="38FCF68C">
      <w:pPr>
        <w:spacing w:line="560" w:lineRule="exact"/>
        <w:ind w:firstLine="600"/>
        <w:jc w:val="both"/>
      </w:pPr>
      <w:r>
        <w:rPr>
          <w:rFonts w:ascii="仿宋" w:hAnsi="仿宋" w:eastAsia="仿宋" w:cs="仿宋"/>
          <w:b w:val="0"/>
          <w:color w:val="000000"/>
          <w:sz w:val="30"/>
        </w:rPr>
        <w:t>天津市西青区辛口镇教育服务中心部门内设1个职能科室；下辖1个预算单位。</w:t>
      </w:r>
    </w:p>
    <w:p w14:paraId="7B61321D">
      <w:pPr>
        <w:spacing w:line="560" w:lineRule="exact"/>
        <w:ind w:firstLine="600"/>
        <w:jc w:val="both"/>
      </w:pPr>
      <w:r>
        <w:rPr>
          <w:rFonts w:ascii="仿宋" w:hAnsi="仿宋" w:eastAsia="仿宋" w:cs="仿宋"/>
          <w:b w:val="0"/>
          <w:color w:val="000000"/>
          <w:sz w:val="30"/>
        </w:rPr>
        <w:t>纳入天津市西青区辛口镇教育服务中心单位2025年部门预算编制范围的预算单位包括：</w:t>
      </w:r>
    </w:p>
    <w:p w14:paraId="0E6039DF">
      <w:pPr>
        <w:spacing w:line="560" w:lineRule="exact"/>
        <w:ind w:firstLine="600"/>
        <w:jc w:val="both"/>
      </w:pPr>
      <w:r>
        <w:rPr>
          <w:rFonts w:ascii="仿宋" w:hAnsi="仿宋" w:eastAsia="仿宋" w:cs="仿宋"/>
          <w:b w:val="0"/>
          <w:color w:val="000000"/>
          <w:sz w:val="30"/>
        </w:rPr>
        <w:t>1.天津市西青区辛口镇教育服务中心</w:t>
      </w:r>
    </w:p>
    <w:p w14:paraId="4DFD25A3">
      <w:pPr>
        <w:pageBreakBefore/>
        <w:spacing w:line="560" w:lineRule="exact"/>
        <w:ind w:firstLine="0"/>
        <w:jc w:val="center"/>
      </w:pPr>
      <w:r>
        <w:rPr>
          <w:rFonts w:ascii="方正小标宋简体" w:hAnsi="方正小标宋简体" w:eastAsia="方正小标宋简体" w:cs="方正小标宋简体"/>
          <w:b/>
          <w:color w:val="000000"/>
          <w:sz w:val="48"/>
        </w:rPr>
        <w:t>第二部分  2025年度单位预算情况说明</w:t>
      </w:r>
    </w:p>
    <w:p w14:paraId="004EE49A">
      <w:pPr>
        <w:spacing w:line="560" w:lineRule="exact"/>
        <w:ind w:firstLine="600"/>
        <w:jc w:val="both"/>
      </w:pPr>
      <w:r>
        <w:rPr>
          <w:rFonts w:ascii="黑体" w:hAnsi="黑体" w:eastAsia="黑体" w:cs="黑体"/>
          <w:b/>
          <w:color w:val="000000"/>
          <w:sz w:val="30"/>
        </w:rPr>
        <w:t>一、关于收支总体情况表的说明</w:t>
      </w:r>
    </w:p>
    <w:p w14:paraId="7A62686A">
      <w:pPr>
        <w:spacing w:line="560" w:lineRule="exact"/>
        <w:ind w:firstLine="600"/>
        <w:jc w:val="both"/>
      </w:pPr>
      <w:r>
        <w:rPr>
          <w:rFonts w:ascii="仿宋" w:hAnsi="仿宋" w:eastAsia="仿宋" w:cs="仿宋"/>
          <w:b w:val="0"/>
          <w:color w:val="000000"/>
          <w:sz w:val="30"/>
        </w:rPr>
        <w:t>按照综合预算的原则，天津市西青区辛口镇教育服务中心单位所有收入和支出均纳入部门预算管理。收入包括：一般公共预算拨款收入177.01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177.01万元。天津市西青区辛口镇教育服务中心单位2025年收支总预算177.01万元。</w:t>
      </w:r>
    </w:p>
    <w:p w14:paraId="300A5D21">
      <w:pPr>
        <w:spacing w:line="560" w:lineRule="exact"/>
        <w:ind w:firstLine="600"/>
        <w:jc w:val="both"/>
      </w:pPr>
      <w:r>
        <w:rPr>
          <w:rFonts w:ascii="黑体" w:hAnsi="黑体" w:eastAsia="黑体" w:cs="黑体"/>
          <w:b/>
          <w:color w:val="000000"/>
          <w:sz w:val="30"/>
        </w:rPr>
        <w:t>二、关于收入总体情况表的说明</w:t>
      </w:r>
    </w:p>
    <w:p w14:paraId="6D5228F2">
      <w:pPr>
        <w:spacing w:line="560" w:lineRule="exact"/>
        <w:ind w:firstLine="600"/>
        <w:jc w:val="both"/>
      </w:pPr>
      <w:r>
        <w:rPr>
          <w:rFonts w:ascii="仿宋" w:hAnsi="仿宋" w:eastAsia="仿宋" w:cs="仿宋"/>
          <w:b w:val="0"/>
          <w:color w:val="000000"/>
          <w:sz w:val="30"/>
        </w:rPr>
        <w:t>天津市西青区辛口镇教育服务中心单位2025年部门预算收入177.01万元，与上年预算相比增加56.57万元，主要原因是增加了项目金额。其中：上年结转结余0万元，占0%；一般公共预算177.01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6ABB2E06">
      <w:pPr>
        <w:spacing w:line="560" w:lineRule="exact"/>
        <w:ind w:firstLine="600"/>
        <w:jc w:val="both"/>
      </w:pPr>
      <w:r>
        <w:rPr>
          <w:rFonts w:ascii="黑体" w:hAnsi="黑体" w:eastAsia="黑体" w:cs="黑体"/>
          <w:b/>
          <w:color w:val="000000"/>
          <w:sz w:val="30"/>
        </w:rPr>
        <w:t>三、关于支出总体情况表的说明</w:t>
      </w:r>
    </w:p>
    <w:p w14:paraId="6106AD16">
      <w:pPr>
        <w:spacing w:line="560" w:lineRule="exact"/>
        <w:ind w:firstLine="600"/>
        <w:jc w:val="both"/>
      </w:pPr>
      <w:r>
        <w:rPr>
          <w:rFonts w:ascii="仿宋" w:hAnsi="仿宋" w:eastAsia="仿宋" w:cs="仿宋"/>
          <w:b w:val="0"/>
          <w:color w:val="000000"/>
          <w:sz w:val="30"/>
        </w:rPr>
        <w:t>天津市西青区辛口镇教育服务中心单位2025年支出预算177.01万元，与上年预算相比增加56.57万元，主要原因是增加了项目金额。其中：基本支出106.61万元，占60.23%；项目支出70.40万元，占39.77%；事业单位经营支出0万元，占0%；上缴上级支出0万元，占0%；对附属单位补助支出0万元，占0%。</w:t>
      </w:r>
    </w:p>
    <w:p w14:paraId="4B7D42DD">
      <w:pPr>
        <w:spacing w:line="560" w:lineRule="exact"/>
        <w:ind w:firstLine="600"/>
        <w:jc w:val="both"/>
      </w:pPr>
      <w:r>
        <w:rPr>
          <w:rFonts w:ascii="黑体" w:hAnsi="黑体" w:eastAsia="黑体" w:cs="黑体"/>
          <w:b/>
          <w:color w:val="000000"/>
          <w:sz w:val="30"/>
        </w:rPr>
        <w:t>四、关于财政拨款收支总体情况表的说明</w:t>
      </w:r>
    </w:p>
    <w:p w14:paraId="2EB9ED6E">
      <w:pPr>
        <w:spacing w:line="560" w:lineRule="exact"/>
        <w:ind w:firstLine="600"/>
        <w:jc w:val="both"/>
      </w:pPr>
      <w:r>
        <w:rPr>
          <w:rFonts w:ascii="仿宋" w:hAnsi="仿宋" w:eastAsia="仿宋" w:cs="仿宋"/>
          <w:b w:val="0"/>
          <w:color w:val="000000"/>
          <w:sz w:val="30"/>
        </w:rPr>
        <w:t>天津市西青区辛口镇教育服务中心单位2025年财政拨款收入预算177.01万元，与上年预算相比增加56.57万元，主要原因是增加了项目金额。收入包括：一般公共预算拨款收入177.01万元、政府性基金预算拨款收入0万元、上年财政结转结余0万元、国有资本经营预算拨款收入0万元、2025年财政拨款支出预算177.01万元，与上年预算相比增加56.57万元，主要原因是增加了项目金额。支出包括：教育支出177.01万元。</w:t>
      </w:r>
    </w:p>
    <w:p w14:paraId="00C42D21">
      <w:pPr>
        <w:spacing w:line="560" w:lineRule="exact"/>
        <w:ind w:firstLine="600"/>
        <w:jc w:val="both"/>
      </w:pPr>
      <w:r>
        <w:rPr>
          <w:rFonts w:ascii="黑体" w:hAnsi="黑体" w:eastAsia="黑体" w:cs="黑体"/>
          <w:b/>
          <w:color w:val="000000"/>
          <w:sz w:val="30"/>
        </w:rPr>
        <w:t>五、关于一般公共预算支出情况表的说明</w:t>
      </w:r>
    </w:p>
    <w:p w14:paraId="50F37EE8">
      <w:pPr>
        <w:spacing w:line="560" w:lineRule="exact"/>
        <w:ind w:firstLine="600"/>
        <w:jc w:val="both"/>
      </w:pPr>
      <w:r>
        <w:rPr>
          <w:rFonts w:ascii="楷体" w:hAnsi="楷体" w:eastAsia="楷体" w:cs="楷体"/>
          <w:b/>
          <w:color w:val="000000"/>
          <w:sz w:val="30"/>
        </w:rPr>
        <w:t>（一）总体情况</w:t>
      </w:r>
    </w:p>
    <w:p w14:paraId="06EAB951">
      <w:pPr>
        <w:spacing w:line="560" w:lineRule="exact"/>
        <w:ind w:firstLine="600"/>
        <w:jc w:val="both"/>
      </w:pPr>
      <w:r>
        <w:rPr>
          <w:rFonts w:ascii="仿宋" w:hAnsi="仿宋" w:eastAsia="仿宋" w:cs="仿宋"/>
          <w:b w:val="0"/>
          <w:color w:val="000000"/>
          <w:sz w:val="30"/>
        </w:rPr>
        <w:t>天津市西青区辛口镇教育服务中心单位2025年一般公共预算支出177.01万元(上年120.44万元），与上年预算相比增加56.57万元，主要原因是增加了项目金额。</w:t>
      </w:r>
    </w:p>
    <w:p w14:paraId="4C663021">
      <w:pPr>
        <w:spacing w:line="560" w:lineRule="exact"/>
        <w:ind w:firstLine="600"/>
        <w:jc w:val="both"/>
      </w:pPr>
      <w:r>
        <w:rPr>
          <w:rFonts w:ascii="楷体" w:hAnsi="楷体" w:eastAsia="楷体" w:cs="楷体"/>
          <w:b/>
          <w:color w:val="000000"/>
          <w:sz w:val="30"/>
        </w:rPr>
        <w:t>（二）具体情况</w:t>
      </w:r>
    </w:p>
    <w:p w14:paraId="10D9D5BE">
      <w:pPr>
        <w:spacing w:line="560" w:lineRule="exact"/>
        <w:ind w:firstLine="600"/>
        <w:jc w:val="both"/>
      </w:pPr>
      <w:r>
        <w:rPr>
          <w:rFonts w:ascii="仿宋" w:hAnsi="仿宋" w:eastAsia="仿宋" w:cs="仿宋"/>
          <w:b w:val="0"/>
          <w:color w:val="000000"/>
          <w:sz w:val="30"/>
        </w:rPr>
        <w:t>1、“教育支出（类）”177.01万元，与上年预算相比增加74.23万元，主要原因是项目预算金额增加。其中：“普通教育（款）”176.01万元，包括：“小学教育（项）”69.40万元，主要用于发放原代课教师补贴项目的支出；“其他普通教育支出（项）”106.61万元，主要用于本单位职工人员经费和公用经费支出。</w:t>
      </w:r>
    </w:p>
    <w:p w14:paraId="04031919">
      <w:pPr>
        <w:spacing w:line="560" w:lineRule="exact"/>
        <w:ind w:firstLine="600"/>
        <w:jc w:val="both"/>
      </w:pPr>
      <w:r>
        <w:rPr>
          <w:rFonts w:ascii="仿宋" w:hAnsi="仿宋" w:eastAsia="仿宋" w:cs="仿宋"/>
          <w:b w:val="0"/>
          <w:color w:val="000000"/>
          <w:sz w:val="30"/>
        </w:rPr>
        <w:t>“成人教育（款）”1.00万元，包括：“成人高等教育（项）”1.00万元，主要用于成校专项教育经费支出。</w:t>
      </w:r>
    </w:p>
    <w:p w14:paraId="58C25AC3">
      <w:pPr>
        <w:spacing w:line="560" w:lineRule="exact"/>
        <w:ind w:firstLine="600"/>
        <w:jc w:val="both"/>
      </w:pPr>
      <w:r>
        <w:rPr>
          <w:rFonts w:ascii="黑体" w:hAnsi="黑体" w:eastAsia="黑体" w:cs="黑体"/>
          <w:b/>
          <w:color w:val="000000"/>
          <w:sz w:val="30"/>
        </w:rPr>
        <w:t>六、关于一般公共预算基本支出情况表的说明</w:t>
      </w:r>
    </w:p>
    <w:p w14:paraId="54649FB7">
      <w:pPr>
        <w:spacing w:line="560" w:lineRule="exact"/>
        <w:ind w:firstLine="600"/>
        <w:jc w:val="both"/>
      </w:pPr>
      <w:r>
        <w:rPr>
          <w:rFonts w:ascii="仿宋" w:hAnsi="仿宋" w:eastAsia="仿宋" w:cs="仿宋"/>
          <w:b w:val="0"/>
          <w:color w:val="000000"/>
          <w:sz w:val="30"/>
        </w:rPr>
        <w:t>天津市西青区辛口镇教育服务中心单位2025年一般公共预算基本支出 106.61万元，与上年预算相比减少1.19万元，主要原因是压减了支出。其中：人员经费 93.38万元，主要包括：基本工资、津贴补贴、绩效工资、机关事业单位基本养老保险缴费、职业年金缴费、职工基本医疗保险缴费、其他社会保障缴费、住房公积金、医疗费、其他对个人和家庭的补助等；</w:t>
      </w:r>
    </w:p>
    <w:p w14:paraId="74C83098">
      <w:pPr>
        <w:spacing w:line="560" w:lineRule="exact"/>
        <w:ind w:firstLine="600"/>
        <w:jc w:val="both"/>
      </w:pPr>
      <w:r>
        <w:rPr>
          <w:rFonts w:ascii="仿宋" w:hAnsi="仿宋" w:eastAsia="仿宋" w:cs="仿宋"/>
          <w:b w:val="0"/>
          <w:color w:val="000000"/>
          <w:sz w:val="30"/>
        </w:rPr>
        <w:t>公用经费13.23万元，主要包括：办公费、水费、电费、邮电费、物业管理费、差旅费、维修（护）费、培训费、委托业务费、工会经费、福利费、其他交通费用、其他商品和服务支出、办公设备购置等。</w:t>
      </w:r>
    </w:p>
    <w:p w14:paraId="311DF1E4">
      <w:pPr>
        <w:spacing w:line="560" w:lineRule="exact"/>
        <w:ind w:firstLine="600"/>
        <w:jc w:val="both"/>
        <w:rPr>
          <w:rFonts w:ascii="黑体" w:hAnsi="黑体" w:eastAsia="黑体" w:cs="黑体"/>
          <w:b/>
          <w:color w:val="000000"/>
          <w:sz w:val="30"/>
        </w:rPr>
      </w:pPr>
      <w:r>
        <w:rPr>
          <w:rFonts w:ascii="黑体" w:hAnsi="黑体" w:eastAsia="黑体" w:cs="黑体"/>
          <w:b/>
          <w:color w:val="000000"/>
          <w:sz w:val="30"/>
        </w:rPr>
        <w:t>七、关于一般公共预算“三公”经费支出情况表的说明</w:t>
      </w:r>
    </w:p>
    <w:p w14:paraId="38633240">
      <w:pPr>
        <w:spacing w:line="560" w:lineRule="exact"/>
        <w:ind w:firstLine="600"/>
        <w:jc w:val="both"/>
      </w:pPr>
      <w:r>
        <w:rPr>
          <w:rFonts w:ascii="仿宋" w:hAnsi="仿宋" w:eastAsia="仿宋" w:cs="仿宋"/>
          <w:b w:val="0"/>
          <w:color w:val="000000"/>
          <w:sz w:val="30"/>
        </w:rPr>
        <w:t>2025年一般公共预算“三公”经费安排0万元，与2024年预算相比增加0.00万元，主要原因是本单位一般公共预算未安排“三公”经费。</w:t>
      </w:r>
    </w:p>
    <w:p w14:paraId="4785C2CA">
      <w:pPr>
        <w:spacing w:line="560" w:lineRule="exact"/>
        <w:ind w:firstLine="600"/>
        <w:jc w:val="both"/>
      </w:pPr>
      <w:r>
        <w:rPr>
          <w:rFonts w:ascii="仿宋" w:hAnsi="仿宋" w:eastAsia="仿宋" w:cs="仿宋"/>
          <w:b w:val="0"/>
          <w:color w:val="000000"/>
          <w:sz w:val="30"/>
        </w:rPr>
        <w:t>具体情况：</w:t>
      </w:r>
    </w:p>
    <w:p w14:paraId="68549FF0">
      <w:pPr>
        <w:spacing w:line="560" w:lineRule="exact"/>
        <w:ind w:firstLine="600"/>
        <w:jc w:val="both"/>
      </w:pPr>
      <w:r>
        <w:rPr>
          <w:rFonts w:ascii="仿宋" w:hAnsi="仿宋" w:eastAsia="仿宋" w:cs="仿宋"/>
          <w:b w:val="0"/>
          <w:color w:val="000000"/>
          <w:sz w:val="30"/>
        </w:rPr>
        <w:t>一、2025年因公出国（境）费预算0万元，与2024年预算相比增加0.00万元，主要原因是本单位一般公共预算未安排“因公出国（境）费”。</w:t>
      </w:r>
    </w:p>
    <w:p w14:paraId="08BC8400">
      <w:pPr>
        <w:spacing w:line="560" w:lineRule="exact"/>
        <w:ind w:firstLine="600"/>
        <w:jc w:val="both"/>
      </w:pPr>
      <w:r>
        <w:rPr>
          <w:rFonts w:ascii="仿宋" w:hAnsi="仿宋" w:eastAsia="仿宋" w:cs="仿宋"/>
          <w:b w:val="0"/>
          <w:color w:val="000000"/>
          <w:sz w:val="30"/>
        </w:rPr>
        <w:t>二、2025年公务用车购置及运行费预算0万元，</w:t>
      </w:r>
      <w:bookmarkStart w:id="0" w:name="_GoBack"/>
      <w:bookmarkEnd w:id="0"/>
      <w:r>
        <w:rPr>
          <w:rFonts w:ascii="仿宋" w:hAnsi="仿宋" w:eastAsia="仿宋" w:cs="仿宋"/>
          <w:b w:val="0"/>
          <w:color w:val="000000"/>
          <w:sz w:val="30"/>
        </w:rPr>
        <w:t>其中公务用车运行费0万元，与2024年预算相比增加0万元，主要原因是本单位一般公共预算未安排“公务用车运行费”；公务用车购置费0万元，与2024年预算相比增加0万元，主要原因是本单位一般公共预算未安排“公务用车购置费”。</w:t>
      </w:r>
    </w:p>
    <w:p w14:paraId="73D3B2B2">
      <w:pPr>
        <w:spacing w:line="560" w:lineRule="exact"/>
        <w:ind w:firstLine="600"/>
        <w:jc w:val="both"/>
      </w:pPr>
      <w:r>
        <w:rPr>
          <w:rFonts w:ascii="仿宋" w:hAnsi="仿宋" w:eastAsia="仿宋" w:cs="仿宋"/>
          <w:b w:val="0"/>
          <w:color w:val="000000"/>
          <w:sz w:val="30"/>
        </w:rPr>
        <w:t>三、2025年公务接待费预算0万元，与2024年预算相比增加0万元，主要原因是本单位一般公共预算未安排“公务接待费 ”。</w:t>
      </w:r>
    </w:p>
    <w:p w14:paraId="333E9673">
      <w:pPr>
        <w:spacing w:line="560" w:lineRule="exact"/>
        <w:ind w:firstLine="600"/>
        <w:jc w:val="both"/>
      </w:pPr>
      <w:r>
        <w:rPr>
          <w:rFonts w:ascii="黑体" w:hAnsi="黑体" w:eastAsia="黑体" w:cs="黑体"/>
          <w:b/>
          <w:color w:val="000000"/>
          <w:sz w:val="30"/>
        </w:rPr>
        <w:t>八、关于政府性基金预算支出情况表的说明</w:t>
      </w:r>
    </w:p>
    <w:p w14:paraId="0E68DDFA">
      <w:pPr>
        <w:spacing w:line="560" w:lineRule="exact"/>
        <w:ind w:firstLine="600"/>
        <w:jc w:val="both"/>
      </w:pPr>
      <w:r>
        <w:rPr>
          <w:rFonts w:ascii="仿宋" w:hAnsi="仿宋" w:eastAsia="仿宋" w:cs="仿宋"/>
          <w:b w:val="0"/>
          <w:color w:val="000000"/>
          <w:sz w:val="30"/>
        </w:rPr>
        <w:t>2025年天津市西青区辛口镇教育服务中心单位预算中没有使用政府性基金预算安排的支出。</w:t>
      </w:r>
    </w:p>
    <w:p w14:paraId="68658D82">
      <w:pPr>
        <w:spacing w:line="560" w:lineRule="exact"/>
        <w:ind w:firstLine="600"/>
        <w:jc w:val="both"/>
      </w:pPr>
      <w:r>
        <w:rPr>
          <w:rFonts w:ascii="黑体" w:hAnsi="黑体" w:eastAsia="黑体" w:cs="黑体"/>
          <w:b/>
          <w:color w:val="000000"/>
          <w:sz w:val="30"/>
        </w:rPr>
        <w:t>九、关于国有资本经营预算支出情况表的说明</w:t>
      </w:r>
    </w:p>
    <w:p w14:paraId="13A0DF9D">
      <w:pPr>
        <w:spacing w:line="560" w:lineRule="exact"/>
        <w:ind w:firstLine="600"/>
        <w:jc w:val="both"/>
      </w:pPr>
      <w:r>
        <w:rPr>
          <w:rFonts w:ascii="仿宋" w:hAnsi="仿宋" w:eastAsia="仿宋" w:cs="仿宋"/>
          <w:b w:val="0"/>
          <w:color w:val="000000"/>
          <w:sz w:val="30"/>
        </w:rPr>
        <w:t>2025年天津市西青区辛口镇教育服务中心单位预算中没有使用国有资本经营预算安排的支出。</w:t>
      </w:r>
    </w:p>
    <w:p w14:paraId="77D81A3E">
      <w:pPr>
        <w:spacing w:line="560" w:lineRule="exact"/>
        <w:ind w:firstLine="600"/>
        <w:jc w:val="both"/>
      </w:pPr>
      <w:r>
        <w:rPr>
          <w:rFonts w:ascii="黑体" w:hAnsi="黑体" w:eastAsia="黑体" w:cs="黑体"/>
          <w:b/>
          <w:color w:val="000000"/>
          <w:sz w:val="30"/>
        </w:rPr>
        <w:t>十、其他重要事项的情况说明</w:t>
      </w:r>
    </w:p>
    <w:p w14:paraId="05DF7F4C">
      <w:pPr>
        <w:spacing w:line="560" w:lineRule="exact"/>
        <w:ind w:firstLine="600"/>
        <w:jc w:val="both"/>
      </w:pPr>
      <w:r>
        <w:rPr>
          <w:rFonts w:ascii="楷体" w:hAnsi="楷体" w:eastAsia="楷体" w:cs="楷体"/>
          <w:b/>
          <w:color w:val="000000"/>
          <w:sz w:val="30"/>
        </w:rPr>
        <w:t>（一）机关运行经费。</w:t>
      </w:r>
    </w:p>
    <w:p w14:paraId="3BC73579">
      <w:pPr>
        <w:spacing w:line="560" w:lineRule="exact"/>
        <w:ind w:firstLine="600"/>
        <w:jc w:val="both"/>
      </w:pPr>
      <w:r>
        <w:rPr>
          <w:rFonts w:ascii="仿宋" w:hAnsi="仿宋" w:eastAsia="仿宋" w:cs="仿宋"/>
          <w:b w:val="0"/>
          <w:color w:val="000000"/>
          <w:sz w:val="30"/>
        </w:rPr>
        <w:t>本部门2025年未安排机关运行经费预算。</w:t>
      </w:r>
    </w:p>
    <w:p w14:paraId="5B16D547">
      <w:pPr>
        <w:spacing w:line="560" w:lineRule="exact"/>
        <w:ind w:firstLine="600"/>
        <w:jc w:val="both"/>
      </w:pPr>
      <w:r>
        <w:rPr>
          <w:rFonts w:ascii="楷体" w:hAnsi="楷体" w:eastAsia="楷体" w:cs="楷体"/>
          <w:b/>
          <w:color w:val="000000"/>
          <w:sz w:val="30"/>
        </w:rPr>
        <w:t>（二）政府采购情况</w:t>
      </w:r>
      <w:r>
        <w:rPr>
          <w:rFonts w:ascii="仿宋" w:hAnsi="仿宋" w:eastAsia="仿宋" w:cs="仿宋"/>
          <w:b w:val="0"/>
          <w:color w:val="000000"/>
          <w:sz w:val="30"/>
        </w:rPr>
        <w:t>本部门2025年安排政府采购预算0万元，其中：政府采购货物支出0万元、政府采购工程支出0万元、政府采购服务支出0万元。主要项目是：本部门2025年未安排政府采购预算。</w:t>
      </w:r>
    </w:p>
    <w:p w14:paraId="2C2F1A2D">
      <w:pPr>
        <w:spacing w:line="560" w:lineRule="exact"/>
        <w:ind w:firstLine="600"/>
        <w:jc w:val="both"/>
      </w:pPr>
      <w:r>
        <w:rPr>
          <w:rFonts w:ascii="楷体" w:hAnsi="楷体" w:eastAsia="楷体" w:cs="楷体"/>
          <w:b/>
          <w:color w:val="000000"/>
          <w:sz w:val="30"/>
        </w:rPr>
        <w:t>（三）国有资产占用情况</w:t>
      </w:r>
    </w:p>
    <w:p w14:paraId="44DD3386">
      <w:pPr>
        <w:spacing w:line="560" w:lineRule="exact"/>
        <w:ind w:firstLine="600"/>
        <w:jc w:val="both"/>
      </w:pPr>
      <w:r>
        <w:rPr>
          <w:rFonts w:ascii="仿宋" w:hAnsi="仿宋" w:eastAsia="仿宋" w:cs="仿宋"/>
          <w:b w:val="0"/>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0C45793A">
      <w:pPr>
        <w:spacing w:line="560" w:lineRule="exact"/>
        <w:ind w:firstLine="600"/>
        <w:jc w:val="both"/>
      </w:pPr>
      <w:r>
        <w:rPr>
          <w:rFonts w:ascii="楷体" w:hAnsi="楷体" w:eastAsia="楷体" w:cs="楷体"/>
          <w:b/>
          <w:color w:val="000000"/>
          <w:sz w:val="30"/>
        </w:rPr>
        <w:t>（四）预算绩效情况说明。</w:t>
      </w:r>
    </w:p>
    <w:p w14:paraId="79B4254E">
      <w:pPr>
        <w:spacing w:line="560" w:lineRule="exact"/>
        <w:ind w:firstLine="600"/>
        <w:jc w:val="both"/>
      </w:pPr>
      <w:r>
        <w:rPr>
          <w:rFonts w:ascii="仿宋" w:hAnsi="仿宋" w:eastAsia="仿宋" w:cs="仿宋"/>
          <w:b w:val="0"/>
          <w:color w:val="000000"/>
          <w:sz w:val="30"/>
        </w:rPr>
        <w:t>天津市西青区辛口镇教育服务中心单位2025年实行绩效目标管理的项目2个，涉及预算金额70.4万元。</w:t>
      </w:r>
    </w:p>
    <w:p w14:paraId="6A1DC5F3">
      <w:pPr>
        <w:pageBreakBefore/>
        <w:spacing w:line="560" w:lineRule="exact"/>
        <w:ind w:firstLine="0"/>
        <w:jc w:val="center"/>
      </w:pPr>
      <w:r>
        <w:rPr>
          <w:rFonts w:ascii="黑体" w:hAnsi="黑体" w:eastAsia="黑体" w:cs="黑体"/>
          <w:b/>
          <w:color w:val="000000"/>
          <w:sz w:val="48"/>
        </w:rPr>
        <w:t>第三部分  名词解释</w:t>
      </w:r>
    </w:p>
    <w:p w14:paraId="3B81ED99">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66CB59BB">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24CF736B">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36AD5E3D">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E52B75E">
      <w:pPr>
        <w:pageBreakBefore/>
        <w:spacing w:line="2000" w:lineRule="exact"/>
        <w:ind w:firstLine="0"/>
        <w:jc w:val="center"/>
      </w:pPr>
      <w:r>
        <w:rPr>
          <w:rFonts w:ascii="方正小标宋简体" w:hAnsi="方正小标宋简体" w:eastAsia="方正小标宋简体" w:cs="方正小标宋简体"/>
          <w:b/>
          <w:color w:val="000000"/>
          <w:sz w:val="48"/>
        </w:rPr>
        <w:t>第四部分   2025年单位预算表</w:t>
      </w:r>
    </w:p>
    <w:p w14:paraId="67995D14">
      <w:pPr>
        <w:spacing w:line="560" w:lineRule="exact"/>
        <w:ind w:firstLine="0"/>
        <w:jc w:val="both"/>
      </w:pPr>
      <w:r>
        <w:rPr>
          <w:rFonts w:ascii="楷体" w:hAnsi="楷体" w:eastAsia="楷体" w:cs="楷体"/>
          <w:b/>
          <w:color w:val="000000"/>
          <w:sz w:val="30"/>
        </w:rPr>
        <w:t>一、《部门收支总体情况表》</w:t>
      </w:r>
    </w:p>
    <w:p w14:paraId="18040BB9">
      <w:pPr>
        <w:spacing w:line="560" w:lineRule="exact"/>
        <w:ind w:firstLine="0"/>
        <w:jc w:val="both"/>
      </w:pPr>
      <w:r>
        <w:rPr>
          <w:rFonts w:ascii="楷体" w:hAnsi="楷体" w:eastAsia="楷体" w:cs="楷体"/>
          <w:b/>
          <w:color w:val="000000"/>
          <w:sz w:val="30"/>
        </w:rPr>
        <w:t>二、《部门收入总体情况表》</w:t>
      </w:r>
    </w:p>
    <w:p w14:paraId="4D6F6FF2">
      <w:pPr>
        <w:spacing w:line="560" w:lineRule="exact"/>
        <w:ind w:firstLine="0"/>
        <w:jc w:val="both"/>
      </w:pPr>
      <w:r>
        <w:rPr>
          <w:rFonts w:ascii="楷体" w:hAnsi="楷体" w:eastAsia="楷体" w:cs="楷体"/>
          <w:b/>
          <w:color w:val="000000"/>
          <w:sz w:val="30"/>
        </w:rPr>
        <w:t>三、《部门支出总体情况表》</w:t>
      </w:r>
    </w:p>
    <w:p w14:paraId="40046C06">
      <w:pPr>
        <w:spacing w:line="560" w:lineRule="exact"/>
        <w:ind w:firstLine="0"/>
        <w:jc w:val="both"/>
      </w:pPr>
      <w:r>
        <w:rPr>
          <w:rFonts w:ascii="楷体" w:hAnsi="楷体" w:eastAsia="楷体" w:cs="楷体"/>
          <w:b/>
          <w:color w:val="000000"/>
          <w:sz w:val="30"/>
        </w:rPr>
        <w:t>四、《财政拨款收支总体情况表》</w:t>
      </w:r>
    </w:p>
    <w:p w14:paraId="75F15CA7">
      <w:pPr>
        <w:spacing w:line="560" w:lineRule="exact"/>
        <w:ind w:firstLine="0"/>
        <w:jc w:val="both"/>
      </w:pPr>
      <w:r>
        <w:rPr>
          <w:rFonts w:ascii="楷体" w:hAnsi="楷体" w:eastAsia="楷体" w:cs="楷体"/>
          <w:b/>
          <w:color w:val="000000"/>
          <w:sz w:val="30"/>
        </w:rPr>
        <w:t>五、《一般公共预算支出情况表》</w:t>
      </w:r>
    </w:p>
    <w:p w14:paraId="6F9CCA73">
      <w:pPr>
        <w:spacing w:line="560" w:lineRule="exact"/>
        <w:ind w:firstLine="0"/>
        <w:jc w:val="both"/>
      </w:pPr>
      <w:r>
        <w:rPr>
          <w:rFonts w:ascii="楷体" w:hAnsi="楷体" w:eastAsia="楷体" w:cs="楷体"/>
          <w:b/>
          <w:color w:val="000000"/>
          <w:sz w:val="30"/>
        </w:rPr>
        <w:t>六、《一般公共预算基本支出情况表》</w:t>
      </w:r>
    </w:p>
    <w:p w14:paraId="55B5B65B">
      <w:pPr>
        <w:spacing w:line="560" w:lineRule="exact"/>
        <w:ind w:firstLine="0"/>
        <w:jc w:val="both"/>
      </w:pPr>
      <w:r>
        <w:rPr>
          <w:rFonts w:ascii="楷体" w:hAnsi="楷体" w:eastAsia="楷体" w:cs="楷体"/>
          <w:b/>
          <w:color w:val="000000"/>
          <w:sz w:val="30"/>
        </w:rPr>
        <w:t>七、《一般公共预算“三公”经费支出情况表》</w:t>
      </w:r>
    </w:p>
    <w:p w14:paraId="76638778">
      <w:pPr>
        <w:spacing w:line="560" w:lineRule="exact"/>
        <w:ind w:firstLine="0"/>
        <w:jc w:val="both"/>
      </w:pPr>
      <w:r>
        <w:rPr>
          <w:rFonts w:ascii="楷体" w:hAnsi="楷体" w:eastAsia="楷体" w:cs="楷体"/>
          <w:b/>
          <w:color w:val="000000"/>
          <w:sz w:val="30"/>
        </w:rPr>
        <w:t>八、《政府性基金预算支出情况表》</w:t>
      </w:r>
    </w:p>
    <w:p w14:paraId="2E062B0C">
      <w:pPr>
        <w:spacing w:line="560" w:lineRule="exact"/>
        <w:ind w:firstLine="0"/>
        <w:jc w:val="both"/>
      </w:pPr>
      <w:r>
        <w:rPr>
          <w:rFonts w:ascii="楷体" w:hAnsi="楷体" w:eastAsia="楷体" w:cs="楷体"/>
          <w:b/>
          <w:color w:val="000000"/>
          <w:sz w:val="30"/>
        </w:rPr>
        <w:t>九、《国有资本经营预算支出情况表》</w:t>
      </w:r>
    </w:p>
    <w:p w14:paraId="062BADAD">
      <w:pPr>
        <w:spacing w:line="560" w:lineRule="exact"/>
        <w:ind w:firstLine="0"/>
        <w:jc w:val="both"/>
      </w:pPr>
      <w:r>
        <w:rPr>
          <w:rFonts w:ascii="楷体" w:hAnsi="楷体" w:eastAsia="楷体" w:cs="楷体"/>
          <w:b/>
          <w:color w:val="000000"/>
          <w:sz w:val="30"/>
        </w:rPr>
        <w:t>十、《项目支出表》</w:t>
      </w:r>
    </w:p>
    <w:p w14:paraId="51C7109F">
      <w:pPr>
        <w:spacing w:line="560" w:lineRule="exact"/>
        <w:ind w:firstLine="0"/>
        <w:jc w:val="both"/>
      </w:pPr>
      <w:r>
        <w:rPr>
          <w:rFonts w:ascii="楷体" w:hAnsi="楷体" w:eastAsia="楷体" w:cs="楷体"/>
          <w:b/>
          <w:color w:val="000000"/>
          <w:sz w:val="30"/>
        </w:rPr>
        <w:t>十一、关于空表说明</w:t>
      </w:r>
    </w:p>
    <w:p w14:paraId="6A0EE309">
      <w:pPr>
        <w:pageBreakBefore/>
        <w:spacing w:line="560" w:lineRule="exact"/>
        <w:ind w:firstLine="0"/>
        <w:jc w:val="both"/>
      </w:pPr>
      <w:r>
        <w:rPr>
          <w:rFonts w:ascii="仿宋" w:hAnsi="仿宋" w:eastAsia="仿宋" w:cs="仿宋"/>
          <w:b/>
          <w:color w:val="000000"/>
          <w:sz w:val="30"/>
        </w:rPr>
        <w:t>十一、关于空表的说明</w:t>
      </w:r>
    </w:p>
    <w:p w14:paraId="3BC698AC">
      <w:pPr>
        <w:spacing w:line="560" w:lineRule="exact"/>
        <w:ind w:firstLine="600"/>
        <w:jc w:val="both"/>
      </w:pPr>
      <w:r>
        <w:rPr>
          <w:rFonts w:ascii="仿宋" w:hAnsi="仿宋" w:eastAsia="仿宋" w:cs="仿宋"/>
          <w:b w:val="0"/>
          <w:color w:val="000000"/>
          <w:sz w:val="30"/>
        </w:rPr>
        <w:t>本单位2025年一般公共预算“三公”经费支出情况表为空表</w:t>
      </w:r>
    </w:p>
    <w:p w14:paraId="4CC3BE06">
      <w:pPr>
        <w:spacing w:line="560" w:lineRule="exact"/>
        <w:ind w:firstLine="600"/>
        <w:jc w:val="both"/>
      </w:pPr>
      <w:r>
        <w:rPr>
          <w:rFonts w:ascii="仿宋" w:hAnsi="仿宋" w:eastAsia="仿宋" w:cs="仿宋"/>
          <w:b w:val="0"/>
          <w:color w:val="000000"/>
          <w:sz w:val="30"/>
        </w:rPr>
        <w:t>本单位2025年政府性基金预算支出情况表为空表</w:t>
      </w:r>
    </w:p>
    <w:p w14:paraId="122EC253">
      <w:pPr>
        <w:spacing w:line="560" w:lineRule="exact"/>
        <w:ind w:firstLine="600"/>
        <w:jc w:val="both"/>
      </w:pPr>
      <w:r>
        <w:rPr>
          <w:rFonts w:ascii="仿宋" w:hAnsi="仿宋" w:eastAsia="仿宋" w:cs="仿宋"/>
          <w:b w:val="0"/>
          <w:color w:val="000000"/>
          <w:sz w:val="30"/>
        </w:rPr>
        <w:t>本单位2025年国有资本经营预算支出情况表为空表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splitPgBreakAndParaMark/>
    <w:compatSetting w:name="compatibilityMode" w:uri="http://schemas.microsoft.com/office/word" w:val="12"/>
  </w:compat>
  <w:rsids>
    <w:rsidRoot w:val="00000000"/>
    <w:rsid w:val="612B35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3452</Words>
  <Characters>3723</Characters>
  <TotalTime>0</TotalTime>
  <ScaleCrop>false</ScaleCrop>
  <LinksUpToDate>false</LinksUpToDate>
  <CharactersWithSpaces>3746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2025-03-21T01:55:00Z</dcterms:created>
  <dc:creator>Apache POI</dc:creator>
  <cp:lastModifiedBy>等待</cp:lastModifiedBy>
  <dcterms:modified xsi:type="dcterms:W3CDTF">2025-03-24T06:04:15Z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eyJoZGlkIjoiMDUwMzllYmE2YWY0ZjVkMzg5ZjRlN2FiNTE4ZDYxYjQiLCJ1c2VySWQiOiIzODI2MjgyMTUifQ==</vt:lpwstr>
  </property>
  <property fmtid="{D5CDD505-2E9C-101B-9397-08002B2CF9AE}" pid="3" name="KSOProductBuildVer">
    <vt:lpwstr>2052-12.1.0.20305</vt:lpwstr>
  </property>
  <property fmtid="{D5CDD505-2E9C-101B-9397-08002B2CF9AE}" pid="4" name="ICV">
    <vt:lpwstr>4E94B4A7F7404D6F9A83EEB5CB3502A7_12</vt:lpwstr>
  </property>
</Properties>
</file>