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E7634">
      <w:pPr>
        <w:spacing w:line="600" w:lineRule="exact"/>
        <w:jc w:val="both"/>
        <w:rPr>
          <w:rFonts w:hint="eastAsia" w:ascii="黑体" w:hAnsi="黑体" w:eastAsia="黑体"/>
          <w:kern w:val="2"/>
          <w:sz w:val="32"/>
          <w:lang w:val="zh-CN"/>
        </w:rPr>
      </w:pPr>
    </w:p>
    <w:p w14:paraId="76BF549C">
      <w:pPr>
        <w:spacing w:line="580" w:lineRule="exact"/>
        <w:jc w:val="center"/>
        <w:rPr>
          <w:rFonts w:hint="eastAsia" w:ascii="黑体" w:hAnsi="黑体" w:eastAsia="黑体"/>
          <w:kern w:val="2"/>
          <w:sz w:val="44"/>
          <w:lang w:val="zh-CN"/>
        </w:rPr>
      </w:pPr>
    </w:p>
    <w:p w14:paraId="0F6194B9">
      <w:pPr>
        <w:spacing w:line="580" w:lineRule="exact"/>
        <w:jc w:val="center"/>
        <w:rPr>
          <w:rFonts w:hint="default" w:ascii="Times New Roman" w:hAnsi="Times New Roman" w:eastAsia="Times New Roman"/>
          <w:kern w:val="2"/>
          <w:sz w:val="44"/>
          <w:lang w:val="zh-CN"/>
        </w:rPr>
      </w:pPr>
    </w:p>
    <w:p w14:paraId="4B9253E1">
      <w:pPr>
        <w:spacing w:line="580" w:lineRule="exact"/>
        <w:jc w:val="center"/>
        <w:rPr>
          <w:rFonts w:hint="default" w:ascii="Times New Roman" w:hAnsi="Times New Roman" w:eastAsia="Times New Roman"/>
          <w:kern w:val="2"/>
          <w:sz w:val="44"/>
          <w:lang w:val="zh-CN"/>
        </w:rPr>
      </w:pPr>
    </w:p>
    <w:p w14:paraId="4AF2D0D1">
      <w:pPr>
        <w:spacing w:line="580" w:lineRule="exact"/>
        <w:jc w:val="center"/>
        <w:rPr>
          <w:rFonts w:hint="default" w:ascii="Times New Roman" w:hAnsi="Times New Roman" w:eastAsia="Times New Roman"/>
          <w:kern w:val="2"/>
          <w:sz w:val="44"/>
          <w:lang w:val="zh-CN"/>
        </w:rPr>
      </w:pPr>
    </w:p>
    <w:p w14:paraId="3F9957D9">
      <w:pPr>
        <w:spacing w:line="580" w:lineRule="exact"/>
        <w:jc w:val="center"/>
        <w:rPr>
          <w:rFonts w:hint="default" w:ascii="Times New Roman" w:hAnsi="Times New Roman" w:eastAsia="Times New Roman"/>
          <w:kern w:val="2"/>
          <w:sz w:val="44"/>
          <w:lang w:val="zh-CN"/>
        </w:rPr>
      </w:pPr>
    </w:p>
    <w:p w14:paraId="640365C8">
      <w:pPr>
        <w:spacing w:line="580" w:lineRule="exact"/>
        <w:jc w:val="center"/>
        <w:rPr>
          <w:rFonts w:hint="default" w:ascii="Times New Roman" w:hAnsi="Times New Roman" w:eastAsia="Times New Roman"/>
          <w:kern w:val="2"/>
          <w:sz w:val="44"/>
          <w:lang w:val="zh-CN"/>
        </w:rPr>
      </w:pPr>
    </w:p>
    <w:p w14:paraId="11F91916">
      <w:pPr>
        <w:spacing w:line="580" w:lineRule="exact"/>
        <w:jc w:val="center"/>
        <w:rPr>
          <w:rFonts w:hint="default" w:ascii="Times New Roman" w:hAnsi="Times New Roman" w:eastAsia="Times New Roman"/>
          <w:kern w:val="2"/>
          <w:sz w:val="44"/>
          <w:lang w:val="zh-CN"/>
        </w:rPr>
      </w:pPr>
    </w:p>
    <w:p w14:paraId="5DDA1CAB">
      <w:pPr>
        <w:spacing w:line="580" w:lineRule="exact"/>
        <w:jc w:val="center"/>
        <w:rPr>
          <w:rFonts w:hint="default" w:ascii="Times New Roman" w:hAnsi="Times New Roman" w:eastAsia="Times New Roman"/>
          <w:kern w:val="2"/>
          <w:sz w:val="44"/>
          <w:lang w:val="zh-CN"/>
        </w:rPr>
      </w:pPr>
    </w:p>
    <w:p w14:paraId="1E5B195C">
      <w:pPr>
        <w:jc w:val="center"/>
        <w:rPr>
          <w:rFonts w:hint="eastAsia" w:ascii="方正小标宋简体" w:hAnsi="方正小标宋简体" w:eastAsia="方正小标宋简体"/>
          <w:sz w:val="48"/>
          <w:lang w:val="zh-CN"/>
        </w:rPr>
      </w:pPr>
      <w:r>
        <w:rPr>
          <w:rFonts w:hint="eastAsia" w:ascii="方正小标宋简体" w:hAnsi="方正小标宋简体" w:eastAsia="方正小标宋简体"/>
          <w:sz w:val="48"/>
          <w:lang w:val="zh-CN"/>
        </w:rPr>
        <w:t>天津市西青区梅江富力小学</w:t>
      </w:r>
    </w:p>
    <w:p w14:paraId="26311710">
      <w:pPr>
        <w:jc w:val="center"/>
        <w:rPr>
          <w:rFonts w:hint="eastAsia" w:ascii="方正小标宋简体" w:hAnsi="方正小标宋简体" w:eastAsia="方正小标宋简体"/>
          <w:sz w:val="48"/>
          <w:lang w:val="zh-CN"/>
        </w:rPr>
      </w:pPr>
      <w:r>
        <w:rPr>
          <w:rFonts w:hint="eastAsia" w:ascii="方正小标宋简体" w:hAnsi="方正小标宋简体" w:eastAsia="方正小标宋简体"/>
          <w:sz w:val="48"/>
          <w:lang w:val="zh-CN"/>
        </w:rPr>
        <w:t>2023年度部门决算</w:t>
      </w:r>
    </w:p>
    <w:p w14:paraId="62B5863F">
      <w:pPr>
        <w:spacing w:line="580" w:lineRule="exact"/>
        <w:jc w:val="center"/>
        <w:rPr>
          <w:rFonts w:hint="eastAsia" w:ascii="黑体" w:hAnsi="黑体" w:eastAsia="黑体"/>
          <w:kern w:val="2"/>
          <w:sz w:val="30"/>
          <w:lang w:val="en-US"/>
        </w:rPr>
      </w:pPr>
    </w:p>
    <w:p w14:paraId="66E86921">
      <w:pPr>
        <w:spacing w:line="580" w:lineRule="exact"/>
        <w:jc w:val="center"/>
        <w:rPr>
          <w:rFonts w:hint="eastAsia" w:ascii="黑体" w:hAnsi="黑体" w:eastAsia="黑体"/>
          <w:kern w:val="2"/>
          <w:sz w:val="30"/>
          <w:lang w:val="en-US"/>
        </w:rPr>
      </w:pPr>
    </w:p>
    <w:p w14:paraId="4D4C81D8">
      <w:pPr>
        <w:spacing w:line="580" w:lineRule="exact"/>
        <w:jc w:val="center"/>
        <w:rPr>
          <w:rFonts w:hint="eastAsia" w:ascii="黑体" w:hAnsi="黑体" w:eastAsia="黑体"/>
          <w:kern w:val="2"/>
          <w:sz w:val="30"/>
          <w:lang w:val="en-US"/>
        </w:rPr>
      </w:pPr>
    </w:p>
    <w:p w14:paraId="0481B86A">
      <w:pPr>
        <w:spacing w:line="580" w:lineRule="exact"/>
        <w:jc w:val="center"/>
        <w:rPr>
          <w:rFonts w:hint="eastAsia" w:ascii="黑体" w:hAnsi="黑体" w:eastAsia="黑体"/>
          <w:kern w:val="2"/>
          <w:sz w:val="30"/>
          <w:lang w:val="en-US"/>
        </w:rPr>
      </w:pPr>
    </w:p>
    <w:p w14:paraId="0AD1510B">
      <w:pPr>
        <w:spacing w:line="580" w:lineRule="exact"/>
        <w:jc w:val="center"/>
        <w:rPr>
          <w:rFonts w:hint="eastAsia" w:ascii="黑体" w:hAnsi="黑体" w:eastAsia="黑体"/>
          <w:kern w:val="2"/>
          <w:sz w:val="30"/>
          <w:lang w:val="en-US"/>
        </w:rPr>
      </w:pPr>
    </w:p>
    <w:p w14:paraId="42650334">
      <w:pPr>
        <w:rPr>
          <w:rFonts w:hint="eastAsia" w:ascii="黑体" w:hAnsi="黑体" w:eastAsia="黑体"/>
          <w:kern w:val="2"/>
          <w:sz w:val="30"/>
          <w:lang w:val="en-US"/>
        </w:rPr>
      </w:pPr>
      <w:r>
        <w:rPr>
          <w:rFonts w:hint="eastAsia" w:ascii="黑体" w:hAnsi="黑体" w:eastAsia="黑体"/>
          <w:kern w:val="2"/>
          <w:sz w:val="30"/>
          <w:lang w:val="en-US"/>
        </w:rPr>
        <w:br w:type="page"/>
      </w:r>
    </w:p>
    <w:p w14:paraId="7506D903">
      <w:pPr>
        <w:spacing w:line="600" w:lineRule="exact"/>
        <w:jc w:val="center"/>
        <w:rPr>
          <w:rFonts w:hint="eastAsia" w:ascii="黑体" w:hAnsi="黑体" w:eastAsia="黑体"/>
          <w:sz w:val="44"/>
          <w:lang w:val="zh-CN"/>
        </w:rPr>
      </w:pPr>
      <w:r>
        <w:rPr>
          <w:rFonts w:hint="eastAsia" w:ascii="黑体" w:hAnsi="黑体" w:eastAsia="黑体"/>
          <w:sz w:val="44"/>
          <w:lang w:val="zh-CN"/>
        </w:rPr>
        <w:t>目   录</w:t>
      </w:r>
    </w:p>
    <w:p w14:paraId="1A827212">
      <w:pPr>
        <w:spacing w:line="600" w:lineRule="exact"/>
        <w:rPr>
          <w:rFonts w:hint="eastAsia" w:ascii="黑体" w:hAnsi="黑体" w:eastAsia="黑体"/>
          <w:sz w:val="30"/>
          <w:lang w:val="zh-CN"/>
        </w:rPr>
      </w:pPr>
    </w:p>
    <w:p w14:paraId="638BF262">
      <w:pPr>
        <w:tabs>
          <w:tab w:val="right" w:leader="dot" w:pos="8306"/>
        </w:tabs>
        <w:spacing w:line="700" w:lineRule="exact"/>
        <w:rPr>
          <w:rFonts w:hint="default" w:ascii="Times New Roman" w:hAnsi="Times New Roman" w:eastAsia="Times New Roman"/>
          <w:sz w:val="30"/>
          <w:lang w:val="zh-CN"/>
        </w:rPr>
      </w:pPr>
      <w:r>
        <w:rPr>
          <w:rFonts w:hint="eastAsia" w:ascii="方正小标宋简体" w:hAnsi="方正小标宋简体" w:eastAsia="方正小标宋简体"/>
          <w:sz w:val="30"/>
          <w:lang w:val="zh-CN"/>
        </w:rPr>
        <w:t>第一部分  概 况</w:t>
      </w:r>
    </w:p>
    <w:p w14:paraId="75826EF9">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一、主要职责</w:t>
      </w:r>
    </w:p>
    <w:p w14:paraId="776C97CD">
      <w:pPr>
        <w:tabs>
          <w:tab w:val="right" w:leader="dot" w:pos="8306"/>
        </w:tabs>
        <w:spacing w:line="700" w:lineRule="exact"/>
        <w:ind w:left="220"/>
        <w:rPr>
          <w:rFonts w:hint="default" w:ascii="Times New Roman" w:hAnsi="Times New Roman" w:eastAsia="Times New Roman"/>
          <w:sz w:val="30"/>
          <w:lang w:val="zh-CN"/>
        </w:rPr>
      </w:pPr>
      <w:r>
        <w:rPr>
          <w:rFonts w:hint="eastAsia" w:ascii="仿宋" w:hAnsi="仿宋" w:eastAsia="仿宋"/>
          <w:sz w:val="30"/>
          <w:lang w:val="zh-CN"/>
        </w:rPr>
        <w:t>二、机构设置</w:t>
      </w:r>
    </w:p>
    <w:p w14:paraId="715E95F6">
      <w:pPr>
        <w:tabs>
          <w:tab w:val="right" w:leader="dot" w:pos="8306"/>
        </w:tabs>
        <w:spacing w:line="700" w:lineRule="exact"/>
        <w:rPr>
          <w:rFonts w:hint="default" w:ascii="Times New Roman" w:hAnsi="Times New Roman" w:eastAsia="Times New Roman"/>
          <w:sz w:val="30"/>
          <w:lang w:val="zh-CN"/>
        </w:rPr>
      </w:pPr>
      <w:r>
        <w:rPr>
          <w:rFonts w:hint="eastAsia" w:ascii="方正小标宋简体" w:hAnsi="方正小标宋简体" w:eastAsia="方正小标宋简体"/>
          <w:sz w:val="30"/>
          <w:lang w:val="zh-CN"/>
        </w:rPr>
        <w:t>第二部分  2023年度部门决算表</w:t>
      </w:r>
    </w:p>
    <w:p w14:paraId="0D467244">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一、收入支出决算总表</w:t>
      </w:r>
    </w:p>
    <w:p w14:paraId="71CB04B9">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二、收入决算表（按功能分类列示）</w:t>
      </w:r>
    </w:p>
    <w:p w14:paraId="43E8C1DD">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三、收入决算表（按单位列示）</w:t>
      </w:r>
    </w:p>
    <w:p w14:paraId="6C854692">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四、支出决算表</w:t>
      </w:r>
    </w:p>
    <w:p w14:paraId="2E2F6A71">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五、财政拨款收入支出决算总表</w:t>
      </w:r>
    </w:p>
    <w:p w14:paraId="1D8CC543">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六、一般公共预算财政拨款支出决算表</w:t>
      </w:r>
    </w:p>
    <w:p w14:paraId="55DEAFAE">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七、一般公共预算财政拨款基本支出决算表</w:t>
      </w:r>
    </w:p>
    <w:p w14:paraId="45693233">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八、政府性基金预算财政拨款收入支出决算表</w:t>
      </w:r>
    </w:p>
    <w:p w14:paraId="5D8FEE66">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九、国有资本经营预算财政拨款收入支出决算表</w:t>
      </w:r>
    </w:p>
    <w:p w14:paraId="1C539B18">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十、财政拨款“三公”经费支出决算表</w:t>
      </w:r>
    </w:p>
    <w:p w14:paraId="03069E4C">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十一、项目支出决算表</w:t>
      </w:r>
    </w:p>
    <w:p w14:paraId="5DEC3206">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十二、关于空表的说明</w:t>
      </w:r>
    </w:p>
    <w:p w14:paraId="1E586C5E">
      <w:pPr>
        <w:tabs>
          <w:tab w:val="right" w:leader="dot" w:pos="8306"/>
        </w:tabs>
        <w:spacing w:line="700" w:lineRule="exact"/>
        <w:rPr>
          <w:rFonts w:hint="default" w:ascii="Times New Roman" w:hAnsi="Times New Roman" w:eastAsia="Times New Roman"/>
          <w:sz w:val="30"/>
          <w:lang w:val="zh-CN"/>
        </w:rPr>
      </w:pPr>
      <w:r>
        <w:rPr>
          <w:rFonts w:hint="eastAsia" w:ascii="方正小标宋简体" w:hAnsi="方正小标宋简体" w:eastAsia="方正小标宋简体"/>
          <w:sz w:val="30"/>
          <w:lang w:val="zh-CN"/>
        </w:rPr>
        <w:t>第三部分  2023年度部门决算情况说明</w:t>
      </w:r>
    </w:p>
    <w:p w14:paraId="52586846">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一、收支决算总体情况说明</w:t>
      </w:r>
    </w:p>
    <w:p w14:paraId="6797E3D8">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二、收入决算情况说明</w:t>
      </w:r>
    </w:p>
    <w:p w14:paraId="7490F112">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三、支出决算情况说明</w:t>
      </w:r>
    </w:p>
    <w:p w14:paraId="165DDA6D">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四、财政拨款收支决算总体情况说明</w:t>
      </w:r>
    </w:p>
    <w:p w14:paraId="48B26B88">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五、一般公共预算财政拨款支出决算情况说明</w:t>
      </w:r>
    </w:p>
    <w:p w14:paraId="2F8CCEB5">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六、一般公共预算财政拨款基本支出决算情况说明</w:t>
      </w:r>
    </w:p>
    <w:p w14:paraId="1009FC44">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七、政府性基金预算财政拨款收支决算情况说明</w:t>
      </w:r>
    </w:p>
    <w:p w14:paraId="76DCB538">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八、国有资本经营预算财政拨款收支决算情况说明</w:t>
      </w:r>
    </w:p>
    <w:p w14:paraId="2D87816B">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九、财政拨款“三公”经费支出决算情况说明</w:t>
      </w:r>
    </w:p>
    <w:p w14:paraId="2B4A4B61">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十、机关运行经费支出情况说明</w:t>
      </w:r>
    </w:p>
    <w:p w14:paraId="598804A2">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十一、政府采购支出情况说明</w:t>
      </w:r>
    </w:p>
    <w:p w14:paraId="3C5AEFD1">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十二、国有资产占有使用情况说明</w:t>
      </w:r>
    </w:p>
    <w:p w14:paraId="10229703">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十三、预算绩效情况说明</w:t>
      </w:r>
    </w:p>
    <w:p w14:paraId="3B0CD212">
      <w:pPr>
        <w:tabs>
          <w:tab w:val="right" w:leader="dot" w:pos="8306"/>
        </w:tabs>
        <w:spacing w:line="700" w:lineRule="exact"/>
        <w:ind w:left="220"/>
        <w:rPr>
          <w:rFonts w:hint="eastAsia" w:ascii="仿宋" w:hAnsi="仿宋" w:eastAsia="仿宋"/>
          <w:sz w:val="30"/>
          <w:lang w:val="zh-CN"/>
        </w:rPr>
      </w:pPr>
      <w:r>
        <w:rPr>
          <w:rFonts w:hint="eastAsia" w:ascii="仿宋" w:hAnsi="仿宋" w:eastAsia="仿宋"/>
          <w:sz w:val="30"/>
          <w:lang w:val="zh-CN"/>
        </w:rPr>
        <w:t>十四、教育、医疗卫生、社会保障和就业、住房保障、涉农补贴等民生支出情况说明</w:t>
      </w:r>
    </w:p>
    <w:p w14:paraId="77E696FD">
      <w:pPr>
        <w:tabs>
          <w:tab w:val="right" w:leader="dot" w:pos="8306"/>
        </w:tabs>
        <w:spacing w:line="700" w:lineRule="exact"/>
        <w:rPr>
          <w:rFonts w:hint="default" w:ascii="Times New Roman" w:hAnsi="Times New Roman" w:eastAsia="Times New Roman"/>
          <w:sz w:val="30"/>
          <w:lang w:val="zh-CN"/>
        </w:rPr>
      </w:pPr>
      <w:r>
        <w:rPr>
          <w:rFonts w:hint="eastAsia" w:ascii="方正小标宋简体" w:hAnsi="方正小标宋简体" w:eastAsia="方正小标宋简体"/>
          <w:sz w:val="30"/>
          <w:lang w:val="zh-CN"/>
        </w:rPr>
        <w:t>第四部分  名词解释</w:t>
      </w:r>
    </w:p>
    <w:p w14:paraId="06D93304">
      <w:pPr>
        <w:spacing w:line="700" w:lineRule="exact"/>
        <w:rPr>
          <w:rFonts w:hint="eastAsia" w:ascii="黑体" w:hAnsi="黑体" w:eastAsia="黑体"/>
          <w:kern w:val="2"/>
          <w:sz w:val="30"/>
          <w:lang w:val="zh-CN"/>
        </w:rPr>
      </w:pPr>
      <w:r>
        <w:rPr>
          <w:rFonts w:hint="eastAsia" w:ascii="黑体" w:hAnsi="黑体" w:eastAsia="黑体"/>
          <w:kern w:val="2"/>
          <w:sz w:val="30"/>
          <w:lang w:val="zh-CN"/>
        </w:rPr>
        <w:br w:type="page"/>
      </w:r>
    </w:p>
    <w:p w14:paraId="62F8E736">
      <w:pPr>
        <w:pStyle w:val="2"/>
        <w:keepNext/>
        <w:keepLines/>
        <w:spacing w:line="600" w:lineRule="exact"/>
        <w:jc w:val="center"/>
        <w:rPr>
          <w:rFonts w:hint="eastAsia" w:ascii="方正小标宋简体" w:hAnsi="方正小标宋简体" w:eastAsia="方正小标宋简体"/>
          <w:b/>
          <w:kern w:val="44"/>
          <w:sz w:val="44"/>
          <w:lang w:val="en-US"/>
        </w:rPr>
      </w:pPr>
      <w:r>
        <w:rPr>
          <w:rFonts w:hint="eastAsia" w:ascii="方正小标宋简体" w:hAnsi="方正小标宋简体" w:eastAsia="方正小标宋简体"/>
          <w:b/>
          <w:kern w:val="44"/>
          <w:sz w:val="44"/>
          <w:lang w:val="en-US"/>
        </w:rPr>
        <w:t>第一部分  概 况</w:t>
      </w:r>
    </w:p>
    <w:p w14:paraId="441E3D9C">
      <w:pPr>
        <w:spacing w:line="580" w:lineRule="exact"/>
        <w:rPr>
          <w:rFonts w:hint="default" w:ascii="Times New Roman" w:hAnsi="Times New Roman" w:eastAsia="Times New Roman"/>
          <w:kern w:val="2"/>
          <w:lang w:val="zh-CN"/>
        </w:rPr>
      </w:pPr>
    </w:p>
    <w:p w14:paraId="377A72D9">
      <w:pPr>
        <w:pStyle w:val="3"/>
        <w:keepNext/>
        <w:keepLines/>
        <w:spacing w:line="600" w:lineRule="exact"/>
        <w:ind w:firstLine="601"/>
        <w:rPr>
          <w:rFonts w:hint="eastAsia" w:ascii="黑体" w:hAnsi="黑体" w:eastAsia="黑体"/>
          <w:b/>
          <w:sz w:val="30"/>
          <w:lang w:val="zh-CN"/>
        </w:rPr>
      </w:pPr>
      <w:r>
        <w:rPr>
          <w:rFonts w:hint="eastAsia" w:ascii="黑体" w:hAnsi="黑体" w:eastAsia="黑体"/>
          <w:b/>
          <w:sz w:val="30"/>
          <w:lang w:val="zh-CN"/>
        </w:rPr>
        <w:t>一、主要职责</w:t>
      </w:r>
    </w:p>
    <w:p w14:paraId="58FF23D3">
      <w:pPr>
        <w:pStyle w:val="3"/>
        <w:spacing w:line="600" w:lineRule="exact"/>
        <w:ind w:firstLine="600" w:firstLineChars="200"/>
        <w:rPr>
          <w:rFonts w:hint="eastAsia" w:ascii="仿宋" w:hAnsi="仿宋" w:eastAsia="仿宋"/>
          <w:sz w:val="30"/>
        </w:rPr>
      </w:pPr>
      <w:r>
        <w:rPr>
          <w:rFonts w:hint="eastAsia" w:ascii="仿宋" w:hAnsi="仿宋" w:eastAsia="仿宋"/>
          <w:sz w:val="30"/>
        </w:rPr>
        <w:t>天津市西青区梅江富力小学为一所全额拨款事业单位。单位的主要职责是组织教育教学、科学研究活动，保证教育教学质量。维护教职工利益，保障教职工合法权益，以教职工和学生的人生幸福和生命质量作为重点。</w:t>
      </w:r>
    </w:p>
    <w:p w14:paraId="677F0AC4">
      <w:pPr>
        <w:pStyle w:val="3"/>
        <w:keepNext/>
        <w:keepLines/>
        <w:spacing w:line="600" w:lineRule="exact"/>
        <w:ind w:firstLine="602"/>
        <w:rPr>
          <w:rFonts w:hint="eastAsia" w:ascii="黑体" w:hAnsi="黑体" w:eastAsia="黑体"/>
          <w:b/>
          <w:sz w:val="30"/>
          <w:lang w:val="zh-CN"/>
        </w:rPr>
      </w:pPr>
      <w:r>
        <w:rPr>
          <w:rFonts w:hint="eastAsia" w:ascii="黑体" w:hAnsi="黑体" w:eastAsia="黑体"/>
          <w:b/>
          <w:sz w:val="30"/>
          <w:lang w:val="zh-CN"/>
        </w:rPr>
        <w:t>二、机构设置</w:t>
      </w:r>
    </w:p>
    <w:p w14:paraId="515632E1">
      <w:pPr>
        <w:spacing w:line="580" w:lineRule="exact"/>
        <w:ind w:firstLine="600"/>
        <w:rPr>
          <w:rFonts w:hint="eastAsia" w:ascii="仿宋" w:hAnsi="仿宋" w:eastAsia="仿宋"/>
          <w:sz w:val="30"/>
        </w:rPr>
      </w:pPr>
      <w:r>
        <w:rPr>
          <w:rFonts w:hint="eastAsia" w:ascii="仿宋" w:hAnsi="仿宋" w:eastAsia="仿宋"/>
          <w:sz w:val="30"/>
        </w:rPr>
        <w:t>天津市西青区梅江富力小学内设4个职能</w:t>
      </w:r>
      <w:r>
        <w:rPr>
          <w:rFonts w:hint="eastAsia" w:ascii="仿宋" w:hAnsi="仿宋" w:eastAsia="仿宋"/>
          <w:sz w:val="30"/>
          <w:lang w:val="en-US" w:eastAsia="zh-CN"/>
        </w:rPr>
        <w:t>科</w:t>
      </w:r>
      <w:r>
        <w:rPr>
          <w:rFonts w:hint="eastAsia" w:ascii="仿宋" w:hAnsi="仿宋" w:eastAsia="仿宋"/>
          <w:sz w:val="30"/>
        </w:rPr>
        <w:t>室。纳入梅江富力小学202</w:t>
      </w:r>
      <w:r>
        <w:rPr>
          <w:rFonts w:hint="eastAsia" w:ascii="仿宋" w:hAnsi="仿宋" w:eastAsia="仿宋"/>
          <w:sz w:val="30"/>
          <w:lang w:val="en-US" w:eastAsia="zh-CN"/>
        </w:rPr>
        <w:t>3</w:t>
      </w:r>
      <w:r>
        <w:rPr>
          <w:rFonts w:hint="eastAsia" w:ascii="仿宋" w:hAnsi="仿宋" w:eastAsia="仿宋"/>
          <w:sz w:val="30"/>
        </w:rPr>
        <w:t>年度部门决算编制范围的单位包括：天津市西青区梅江富力小学。</w:t>
      </w:r>
    </w:p>
    <w:p w14:paraId="756210F2">
      <w:pPr>
        <w:spacing w:line="580" w:lineRule="exact"/>
        <w:ind w:firstLine="600"/>
        <w:rPr>
          <w:rFonts w:hint="eastAsia" w:ascii="仿宋_GB2312" w:hAnsi="仿宋_GB2312" w:eastAsia="仿宋_GB2312"/>
          <w:kern w:val="2"/>
          <w:sz w:val="30"/>
          <w:lang w:val="zh-CN"/>
        </w:rPr>
      </w:pPr>
    </w:p>
    <w:p w14:paraId="45D4DF1F">
      <w:pPr>
        <w:pStyle w:val="2"/>
        <w:keepNext/>
        <w:keepLines/>
        <w:spacing w:before="340" w:after="330" w:line="600" w:lineRule="exact"/>
        <w:jc w:val="both"/>
        <w:rPr>
          <w:rFonts w:hint="eastAsia" w:ascii="黑体" w:hAnsi="黑体" w:eastAsia="黑体"/>
          <w:kern w:val="2"/>
          <w:sz w:val="30"/>
          <w:lang w:val="en-US"/>
        </w:rPr>
      </w:pPr>
    </w:p>
    <w:p w14:paraId="14E32F71">
      <w:pPr>
        <w:spacing w:line="360" w:lineRule="atLeast"/>
        <w:jc w:val="center"/>
        <w:rPr>
          <w:rFonts w:hint="eastAsia" w:ascii="黑体" w:hAnsi="黑体" w:eastAsia="黑体"/>
          <w:kern w:val="2"/>
          <w:sz w:val="30"/>
          <w:lang w:val="zh-CN"/>
        </w:rPr>
      </w:pPr>
    </w:p>
    <w:p w14:paraId="437B0E42">
      <w:pPr>
        <w:spacing w:line="360" w:lineRule="atLeast"/>
        <w:jc w:val="center"/>
        <w:rPr>
          <w:rFonts w:hint="eastAsia" w:ascii="黑体" w:hAnsi="黑体" w:eastAsia="黑体"/>
          <w:kern w:val="2"/>
          <w:sz w:val="30"/>
          <w:lang w:val="zh-CN"/>
        </w:rPr>
      </w:pPr>
    </w:p>
    <w:p w14:paraId="31B88A64">
      <w:pPr>
        <w:spacing w:line="360" w:lineRule="atLeast"/>
        <w:jc w:val="center"/>
        <w:rPr>
          <w:rFonts w:hint="eastAsia" w:ascii="黑体" w:hAnsi="黑体" w:eastAsia="黑体"/>
          <w:kern w:val="2"/>
          <w:sz w:val="30"/>
          <w:lang w:val="zh-CN"/>
        </w:rPr>
      </w:pPr>
    </w:p>
    <w:p w14:paraId="37BAC902">
      <w:pPr>
        <w:spacing w:line="360" w:lineRule="atLeast"/>
        <w:jc w:val="center"/>
        <w:rPr>
          <w:rFonts w:hint="eastAsia" w:ascii="黑体" w:hAnsi="黑体" w:eastAsia="黑体"/>
          <w:kern w:val="2"/>
          <w:sz w:val="30"/>
          <w:lang w:val="zh-CN"/>
        </w:rPr>
      </w:pPr>
    </w:p>
    <w:p w14:paraId="03725730">
      <w:pPr>
        <w:spacing w:line="360" w:lineRule="atLeast"/>
        <w:jc w:val="center"/>
        <w:rPr>
          <w:rFonts w:hint="eastAsia" w:ascii="黑体" w:hAnsi="黑体" w:eastAsia="黑体"/>
          <w:kern w:val="2"/>
          <w:sz w:val="30"/>
          <w:lang w:val="zh-CN"/>
        </w:rPr>
      </w:pPr>
    </w:p>
    <w:p w14:paraId="4E2CD883">
      <w:pPr>
        <w:spacing w:line="360" w:lineRule="atLeast"/>
        <w:jc w:val="center"/>
        <w:rPr>
          <w:rFonts w:hint="eastAsia" w:ascii="黑体" w:hAnsi="黑体" w:eastAsia="黑体"/>
          <w:kern w:val="2"/>
          <w:sz w:val="30"/>
          <w:lang w:val="zh-CN"/>
        </w:rPr>
      </w:pPr>
    </w:p>
    <w:p w14:paraId="749774D2">
      <w:pPr>
        <w:spacing w:line="360" w:lineRule="atLeast"/>
        <w:jc w:val="center"/>
        <w:rPr>
          <w:rFonts w:hint="eastAsia" w:ascii="黑体" w:hAnsi="黑体" w:eastAsia="黑体"/>
          <w:kern w:val="2"/>
          <w:sz w:val="30"/>
          <w:lang w:val="zh-CN"/>
        </w:rPr>
      </w:pPr>
    </w:p>
    <w:p w14:paraId="2259C211">
      <w:pPr>
        <w:spacing w:line="360" w:lineRule="atLeast"/>
        <w:jc w:val="center"/>
        <w:rPr>
          <w:rFonts w:hint="eastAsia" w:ascii="黑体" w:hAnsi="黑体" w:eastAsia="黑体"/>
          <w:kern w:val="2"/>
          <w:sz w:val="30"/>
          <w:lang w:val="zh-CN"/>
        </w:rPr>
      </w:pPr>
    </w:p>
    <w:p w14:paraId="2FF521E2">
      <w:pPr>
        <w:spacing w:line="360" w:lineRule="atLeast"/>
        <w:jc w:val="center"/>
        <w:rPr>
          <w:rFonts w:hint="eastAsia" w:ascii="黑体" w:hAnsi="黑体" w:eastAsia="黑体"/>
          <w:kern w:val="2"/>
          <w:sz w:val="30"/>
          <w:lang w:val="zh-CN"/>
        </w:rPr>
      </w:pPr>
    </w:p>
    <w:p w14:paraId="33EE723D">
      <w:pPr>
        <w:spacing w:line="360" w:lineRule="atLeast"/>
        <w:jc w:val="center"/>
        <w:rPr>
          <w:rFonts w:hint="eastAsia" w:ascii="黑体" w:hAnsi="黑体" w:eastAsia="黑体"/>
          <w:kern w:val="2"/>
          <w:sz w:val="30"/>
          <w:lang w:val="zh-CN"/>
        </w:rPr>
      </w:pPr>
    </w:p>
    <w:p w14:paraId="581419DA">
      <w:pPr>
        <w:pStyle w:val="2"/>
        <w:keepNext/>
        <w:keepLines/>
        <w:spacing w:line="600" w:lineRule="exact"/>
        <w:jc w:val="center"/>
        <w:rPr>
          <w:rFonts w:hint="eastAsia" w:ascii="方正小标宋简体" w:hAnsi="方正小标宋简体" w:eastAsia="方正小标宋简体"/>
          <w:b/>
          <w:kern w:val="44"/>
          <w:sz w:val="44"/>
          <w:lang w:val="en-US"/>
        </w:rPr>
      </w:pPr>
      <w:r>
        <w:rPr>
          <w:rFonts w:hint="eastAsia" w:ascii="方正小标宋简体" w:hAnsi="方正小标宋简体" w:eastAsia="方正小标宋简体"/>
          <w:b/>
          <w:kern w:val="44"/>
          <w:sz w:val="44"/>
          <w:lang w:val="zh-CN"/>
        </w:rPr>
        <w:t xml:space="preserve">第二部分 </w:t>
      </w:r>
      <w:r>
        <w:rPr>
          <w:rFonts w:hint="eastAsia" w:ascii="方正小标宋简体" w:hAnsi="方正小标宋简体" w:eastAsia="方正小标宋简体"/>
          <w:b/>
          <w:kern w:val="44"/>
          <w:sz w:val="44"/>
          <w:lang w:val="en-US"/>
        </w:rPr>
        <w:t xml:space="preserve"> 2023年度部门决算表</w:t>
      </w:r>
    </w:p>
    <w:p w14:paraId="52442723">
      <w:pPr>
        <w:rPr>
          <w:rFonts w:hint="default" w:ascii="Times New Roman" w:hAnsi="Times New Roman" w:eastAsia="Times New Roman"/>
          <w:lang w:val="en-US"/>
        </w:rPr>
      </w:pPr>
    </w:p>
    <w:p w14:paraId="3C7B30CF">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一、《收入支出决算总表》</w:t>
      </w:r>
    </w:p>
    <w:p w14:paraId="6185BC0C">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二、《收入决算表（按功能分类列示）》</w:t>
      </w:r>
    </w:p>
    <w:p w14:paraId="5D75DE86">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三、《收入决算表（按单位列示）》</w:t>
      </w:r>
    </w:p>
    <w:p w14:paraId="5C0659BE">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四、《支出决算表》</w:t>
      </w:r>
    </w:p>
    <w:p w14:paraId="7F41A879">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五、《财政拨款收入支出决算总表》</w:t>
      </w:r>
    </w:p>
    <w:p w14:paraId="7C7C904C">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六、《一般公共预算财政拨款支出决算表》</w:t>
      </w:r>
    </w:p>
    <w:p w14:paraId="4ED61E43">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七、《一般公共预算财政拨款基本支出决算表》</w:t>
      </w:r>
    </w:p>
    <w:p w14:paraId="779A1A26">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八、《政府性基金预算财政拨款收入支出决算表》</w:t>
      </w:r>
    </w:p>
    <w:p w14:paraId="22DE497A">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九、《国有资本经营预算财政拨款收入支出决算表》</w:t>
      </w:r>
    </w:p>
    <w:p w14:paraId="18F47E3C">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十、《财政拨款“三公”经费支出决算表》</w:t>
      </w:r>
    </w:p>
    <w:p w14:paraId="2DD31458">
      <w:pPr>
        <w:pStyle w:val="3"/>
        <w:keepNext/>
        <w:keepLines/>
        <w:spacing w:line="800" w:lineRule="exact"/>
        <w:ind w:firstLine="600"/>
        <w:rPr>
          <w:rFonts w:hint="eastAsia" w:ascii="黑体" w:hAnsi="黑体" w:eastAsia="黑体"/>
          <w:sz w:val="30"/>
          <w:lang w:val="en-US"/>
        </w:rPr>
      </w:pPr>
      <w:r>
        <w:rPr>
          <w:rFonts w:hint="eastAsia" w:ascii="黑体" w:hAnsi="黑体" w:eastAsia="黑体"/>
          <w:sz w:val="30"/>
          <w:lang w:val="en-US"/>
        </w:rPr>
        <w:t>十一、《项目支出决算表》</w:t>
      </w:r>
    </w:p>
    <w:p w14:paraId="4D5C5709">
      <w:pPr>
        <w:spacing w:line="800" w:lineRule="exact"/>
        <w:rPr>
          <w:rFonts w:hint="eastAsia" w:ascii="楷体" w:hAnsi="楷体" w:eastAsia="楷体"/>
          <w:sz w:val="30"/>
          <w:lang w:val="en-US"/>
        </w:rPr>
      </w:pPr>
      <w:r>
        <w:rPr>
          <w:rFonts w:hint="eastAsia" w:ascii="楷体" w:hAnsi="楷体" w:eastAsia="楷体"/>
          <w:sz w:val="30"/>
          <w:lang w:val="en-US"/>
        </w:rPr>
        <w:t>注：以上决算公开表均作为附表，附于决算公开说明文档后。</w:t>
      </w:r>
    </w:p>
    <w:p w14:paraId="5B4FF489">
      <w:pPr>
        <w:spacing w:line="600" w:lineRule="exact"/>
        <w:rPr>
          <w:rFonts w:hint="default" w:ascii="Times New Roman" w:hAnsi="Times New Roman" w:eastAsia="Times New Roman"/>
          <w:lang w:val="en-US"/>
        </w:rPr>
      </w:pPr>
    </w:p>
    <w:p w14:paraId="2B8C8913">
      <w:pPr>
        <w:spacing w:line="600" w:lineRule="exact"/>
        <w:rPr>
          <w:rFonts w:hint="eastAsia" w:ascii="Times New Roman" w:hAnsi="Times New Roman" w:eastAsia="Times New Roman"/>
          <w:lang w:val="en-US" w:eastAsia="zh-CN"/>
        </w:rPr>
      </w:pPr>
      <w:r>
        <w:rPr>
          <w:rFonts w:hint="eastAsia" w:ascii="Times New Roman" w:hAnsi="Times New Roman" w:eastAsia="Times New Roman"/>
          <w:lang w:val="en-US" w:eastAsia="zh-CN"/>
        </w:rPr>
        <w:t xml:space="preserve"> </w:t>
      </w:r>
    </w:p>
    <w:p w14:paraId="5157C3C9">
      <w:pPr>
        <w:spacing w:line="600" w:lineRule="exact"/>
        <w:rPr>
          <w:rFonts w:hint="eastAsia" w:ascii="Times New Roman" w:hAnsi="Times New Roman" w:eastAsia="Times New Roman"/>
          <w:lang w:val="en-US" w:eastAsia="zh-CN"/>
        </w:rPr>
      </w:pPr>
    </w:p>
    <w:p w14:paraId="31A37B0B">
      <w:pPr>
        <w:pStyle w:val="3"/>
        <w:keepNext/>
        <w:keepLines/>
        <w:spacing w:line="640" w:lineRule="exact"/>
        <w:ind w:firstLine="600"/>
        <w:rPr>
          <w:rFonts w:hint="eastAsia" w:ascii="黑体" w:hAnsi="黑体" w:eastAsia="黑体"/>
          <w:sz w:val="30"/>
          <w:lang w:val="en-US"/>
        </w:rPr>
      </w:pPr>
      <w:r>
        <w:rPr>
          <w:rFonts w:hint="eastAsia" w:ascii="黑体" w:hAnsi="黑体" w:eastAsia="黑体"/>
          <w:sz w:val="30"/>
          <w:lang w:val="en-US"/>
        </w:rPr>
        <w:t>十二、关于空表的说明</w:t>
      </w:r>
    </w:p>
    <w:p w14:paraId="56D33DC4">
      <w:pPr>
        <w:spacing w:line="640" w:lineRule="exact"/>
        <w:ind w:firstLine="600"/>
        <w:rPr>
          <w:rFonts w:hint="eastAsia" w:ascii="仿宋" w:hAnsi="仿宋" w:eastAsia="仿宋"/>
          <w:sz w:val="30"/>
          <w:lang w:val="en-US"/>
        </w:rPr>
      </w:pPr>
      <w:r>
        <w:rPr>
          <w:rFonts w:hint="eastAsia" w:ascii="仿宋" w:hAnsi="仿宋" w:eastAsia="仿宋"/>
          <w:sz w:val="30"/>
          <w:lang w:val="en-US" w:eastAsia="zh-CN"/>
        </w:rPr>
        <w:t>1</w:t>
      </w:r>
      <w:r>
        <w:rPr>
          <w:rFonts w:hint="eastAsia" w:ascii="仿宋" w:hAnsi="仿宋" w:eastAsia="仿宋"/>
          <w:sz w:val="30"/>
          <w:lang w:val="en-US"/>
        </w:rPr>
        <w:t>.</w:t>
      </w:r>
      <w:r>
        <w:rPr>
          <w:rFonts w:hint="eastAsia" w:ascii="仿宋" w:hAnsi="仿宋" w:eastAsia="仿宋"/>
          <w:kern w:val="2"/>
          <w:sz w:val="30"/>
          <w:lang w:val="zh-CN"/>
        </w:rPr>
        <w:t>天津市西青区梅江富力小学</w:t>
      </w:r>
      <w:r>
        <w:rPr>
          <w:rFonts w:hint="eastAsia" w:ascii="仿宋" w:hAnsi="仿宋" w:eastAsia="仿宋"/>
          <w:kern w:val="2"/>
          <w:sz w:val="30"/>
          <w:lang w:val="en-US"/>
        </w:rPr>
        <w:t>2023年度政府性基金预算财政拨款收入支出决算表为空表。</w:t>
      </w:r>
    </w:p>
    <w:p w14:paraId="36B55976">
      <w:pPr>
        <w:spacing w:line="640" w:lineRule="exact"/>
        <w:ind w:firstLine="600"/>
        <w:rPr>
          <w:rFonts w:hint="eastAsia" w:ascii="仿宋" w:hAnsi="仿宋" w:eastAsia="仿宋"/>
          <w:sz w:val="30"/>
          <w:lang w:val="en-US"/>
        </w:rPr>
      </w:pPr>
      <w:r>
        <w:rPr>
          <w:rFonts w:hint="eastAsia" w:ascii="仿宋" w:hAnsi="仿宋" w:eastAsia="仿宋"/>
          <w:sz w:val="30"/>
          <w:lang w:val="en-US" w:eastAsia="zh-CN"/>
        </w:rPr>
        <w:t>2</w:t>
      </w:r>
      <w:r>
        <w:rPr>
          <w:rFonts w:hint="eastAsia" w:ascii="仿宋" w:hAnsi="仿宋" w:eastAsia="仿宋"/>
          <w:sz w:val="30"/>
          <w:lang w:val="en-US"/>
        </w:rPr>
        <w:t>.</w:t>
      </w:r>
      <w:r>
        <w:rPr>
          <w:rFonts w:hint="eastAsia" w:ascii="仿宋" w:hAnsi="仿宋" w:eastAsia="仿宋"/>
          <w:kern w:val="2"/>
          <w:sz w:val="30"/>
          <w:lang w:val="zh-CN"/>
        </w:rPr>
        <w:t>天津市西青区梅江富力小学</w:t>
      </w:r>
      <w:r>
        <w:rPr>
          <w:rFonts w:hint="eastAsia" w:ascii="仿宋" w:hAnsi="仿宋" w:eastAsia="仿宋"/>
          <w:kern w:val="2"/>
          <w:sz w:val="30"/>
          <w:lang w:val="en-US"/>
        </w:rPr>
        <w:t>2023年度国有资本经营预算财政拨款收入支出决算表为空表。</w:t>
      </w:r>
    </w:p>
    <w:p w14:paraId="43625877">
      <w:pPr>
        <w:spacing w:line="640" w:lineRule="exact"/>
        <w:ind w:firstLine="600"/>
        <w:rPr>
          <w:rFonts w:hint="eastAsia" w:ascii="仿宋" w:hAnsi="仿宋" w:eastAsia="仿宋"/>
          <w:kern w:val="2"/>
          <w:sz w:val="30"/>
          <w:lang w:val="en-US"/>
        </w:rPr>
      </w:pPr>
      <w:r>
        <w:rPr>
          <w:rFonts w:hint="eastAsia" w:ascii="仿宋" w:hAnsi="仿宋" w:eastAsia="仿宋"/>
          <w:sz w:val="30"/>
          <w:lang w:val="en-US" w:eastAsia="zh-CN"/>
        </w:rPr>
        <w:t>3</w:t>
      </w:r>
      <w:r>
        <w:rPr>
          <w:rFonts w:hint="eastAsia" w:ascii="仿宋" w:hAnsi="仿宋" w:eastAsia="仿宋"/>
          <w:sz w:val="30"/>
          <w:lang w:val="en-US"/>
        </w:rPr>
        <w:t>.</w:t>
      </w:r>
      <w:r>
        <w:rPr>
          <w:rFonts w:hint="eastAsia" w:ascii="仿宋" w:hAnsi="仿宋" w:eastAsia="仿宋"/>
          <w:kern w:val="2"/>
          <w:sz w:val="30"/>
          <w:lang w:val="zh-CN"/>
        </w:rPr>
        <w:t>天津市西青区梅江富力小学</w:t>
      </w:r>
      <w:r>
        <w:rPr>
          <w:rFonts w:hint="eastAsia" w:ascii="仿宋" w:hAnsi="仿宋" w:eastAsia="仿宋"/>
          <w:kern w:val="2"/>
          <w:sz w:val="30"/>
          <w:lang w:val="en-US"/>
        </w:rPr>
        <w:t>2023年度财政拨款“三公”经费支出决算表为空表。</w:t>
      </w:r>
    </w:p>
    <w:p w14:paraId="748E311A">
      <w:pPr>
        <w:spacing w:line="640" w:lineRule="exact"/>
        <w:ind w:firstLine="600"/>
        <w:rPr>
          <w:rFonts w:hint="eastAsia" w:ascii="仿宋" w:hAnsi="仿宋" w:eastAsia="仿宋"/>
          <w:kern w:val="2"/>
          <w:sz w:val="30"/>
          <w:lang w:val="en-US"/>
        </w:rPr>
      </w:pPr>
      <w:r>
        <w:rPr>
          <w:rFonts w:hint="eastAsia" w:ascii="仿宋" w:hAnsi="仿宋" w:eastAsia="仿宋"/>
          <w:sz w:val="30"/>
          <w:lang w:val="en-US" w:eastAsia="zh-CN"/>
        </w:rPr>
        <w:t>4</w:t>
      </w:r>
      <w:r>
        <w:rPr>
          <w:rFonts w:hint="eastAsia" w:ascii="仿宋" w:hAnsi="仿宋" w:eastAsia="仿宋"/>
          <w:sz w:val="30"/>
          <w:lang w:val="en-US"/>
        </w:rPr>
        <w:t>.</w:t>
      </w:r>
      <w:r>
        <w:rPr>
          <w:rFonts w:hint="eastAsia" w:ascii="仿宋" w:hAnsi="仿宋" w:eastAsia="仿宋"/>
          <w:kern w:val="2"/>
          <w:sz w:val="30"/>
          <w:lang w:val="zh-CN"/>
        </w:rPr>
        <w:t>天津市西青区梅江富力小学</w:t>
      </w:r>
      <w:r>
        <w:rPr>
          <w:rFonts w:hint="eastAsia" w:ascii="仿宋" w:hAnsi="仿宋" w:eastAsia="仿宋"/>
          <w:kern w:val="2"/>
          <w:sz w:val="30"/>
          <w:lang w:val="en-US"/>
        </w:rPr>
        <w:t>2023年度项目支出决算表为空表。</w:t>
      </w:r>
    </w:p>
    <w:p w14:paraId="20251156">
      <w:pPr>
        <w:spacing w:line="640" w:lineRule="exact"/>
        <w:ind w:firstLine="600"/>
        <w:rPr>
          <w:rFonts w:hint="eastAsia" w:ascii="仿宋" w:hAnsi="仿宋" w:eastAsia="仿宋"/>
          <w:kern w:val="2"/>
          <w:sz w:val="30"/>
          <w:lang w:val="en-US"/>
        </w:rPr>
      </w:pPr>
    </w:p>
    <w:p w14:paraId="1EBC0174">
      <w:pPr>
        <w:spacing w:line="640" w:lineRule="exact"/>
        <w:ind w:firstLine="600"/>
        <w:rPr>
          <w:rFonts w:hint="eastAsia" w:ascii="仿宋" w:hAnsi="仿宋" w:eastAsia="仿宋"/>
          <w:kern w:val="2"/>
          <w:sz w:val="30"/>
          <w:lang w:val="en-US"/>
        </w:rPr>
      </w:pPr>
    </w:p>
    <w:p w14:paraId="7DCD21CA">
      <w:pPr>
        <w:spacing w:line="640" w:lineRule="exact"/>
        <w:ind w:firstLine="600"/>
        <w:rPr>
          <w:rFonts w:hint="eastAsia" w:ascii="仿宋" w:hAnsi="仿宋" w:eastAsia="仿宋"/>
          <w:kern w:val="2"/>
          <w:sz w:val="30"/>
          <w:lang w:val="en-US"/>
        </w:rPr>
      </w:pPr>
    </w:p>
    <w:p w14:paraId="27C110B2">
      <w:pPr>
        <w:spacing w:line="640" w:lineRule="exact"/>
        <w:ind w:firstLine="600"/>
        <w:rPr>
          <w:rFonts w:hint="eastAsia" w:ascii="仿宋" w:hAnsi="仿宋" w:eastAsia="仿宋"/>
          <w:kern w:val="2"/>
          <w:sz w:val="30"/>
          <w:lang w:val="en-US"/>
        </w:rPr>
      </w:pPr>
    </w:p>
    <w:p w14:paraId="1C7F2A40">
      <w:pPr>
        <w:spacing w:line="640" w:lineRule="exact"/>
        <w:ind w:firstLine="600"/>
        <w:rPr>
          <w:rFonts w:hint="eastAsia" w:ascii="仿宋" w:hAnsi="仿宋" w:eastAsia="仿宋"/>
          <w:kern w:val="2"/>
          <w:sz w:val="30"/>
          <w:lang w:val="en-US"/>
        </w:rPr>
      </w:pPr>
    </w:p>
    <w:p w14:paraId="0164D836">
      <w:pPr>
        <w:spacing w:line="640" w:lineRule="exact"/>
        <w:ind w:firstLine="600"/>
        <w:rPr>
          <w:rFonts w:hint="eastAsia" w:ascii="仿宋" w:hAnsi="仿宋" w:eastAsia="仿宋"/>
          <w:kern w:val="2"/>
          <w:sz w:val="30"/>
          <w:lang w:val="en-US"/>
        </w:rPr>
      </w:pPr>
    </w:p>
    <w:p w14:paraId="29F90ED7">
      <w:pPr>
        <w:spacing w:line="640" w:lineRule="exact"/>
        <w:ind w:firstLine="600"/>
        <w:rPr>
          <w:rFonts w:hint="eastAsia" w:ascii="仿宋" w:hAnsi="仿宋" w:eastAsia="仿宋"/>
          <w:kern w:val="2"/>
          <w:sz w:val="30"/>
          <w:lang w:val="en-US"/>
        </w:rPr>
      </w:pPr>
    </w:p>
    <w:p w14:paraId="09E504EE">
      <w:pPr>
        <w:spacing w:line="640" w:lineRule="exact"/>
        <w:ind w:firstLine="600"/>
        <w:rPr>
          <w:rFonts w:hint="eastAsia" w:ascii="仿宋" w:hAnsi="仿宋" w:eastAsia="仿宋"/>
          <w:kern w:val="2"/>
          <w:sz w:val="30"/>
          <w:lang w:val="en-US"/>
        </w:rPr>
      </w:pPr>
    </w:p>
    <w:p w14:paraId="3D62160D">
      <w:pPr>
        <w:spacing w:line="640" w:lineRule="exact"/>
        <w:ind w:firstLine="600"/>
        <w:rPr>
          <w:rFonts w:hint="eastAsia" w:ascii="仿宋" w:hAnsi="仿宋" w:eastAsia="仿宋"/>
          <w:kern w:val="2"/>
          <w:sz w:val="30"/>
          <w:lang w:val="en-US"/>
        </w:rPr>
      </w:pPr>
    </w:p>
    <w:p w14:paraId="38489DF1">
      <w:pPr>
        <w:spacing w:line="640" w:lineRule="exact"/>
        <w:ind w:firstLine="600"/>
        <w:rPr>
          <w:rFonts w:hint="eastAsia" w:ascii="仿宋" w:hAnsi="仿宋" w:eastAsia="仿宋"/>
          <w:kern w:val="2"/>
          <w:sz w:val="30"/>
          <w:lang w:val="en-US"/>
        </w:rPr>
      </w:pPr>
    </w:p>
    <w:p w14:paraId="56DDEB0E">
      <w:pPr>
        <w:spacing w:line="640" w:lineRule="exact"/>
        <w:ind w:firstLine="600"/>
        <w:rPr>
          <w:rFonts w:hint="eastAsia" w:ascii="仿宋" w:hAnsi="仿宋" w:eastAsia="仿宋"/>
          <w:kern w:val="2"/>
          <w:sz w:val="30"/>
          <w:lang w:val="en-US"/>
        </w:rPr>
      </w:pPr>
    </w:p>
    <w:p w14:paraId="56482D8E">
      <w:pPr>
        <w:spacing w:line="640" w:lineRule="exact"/>
        <w:ind w:firstLine="600"/>
        <w:rPr>
          <w:rFonts w:hint="eastAsia" w:ascii="仿宋" w:hAnsi="仿宋" w:eastAsia="仿宋"/>
          <w:kern w:val="2"/>
          <w:sz w:val="30"/>
          <w:lang w:val="en-US"/>
        </w:rPr>
      </w:pPr>
    </w:p>
    <w:p w14:paraId="5FC4117B">
      <w:pPr>
        <w:pStyle w:val="2"/>
        <w:keepNext/>
        <w:keepLines/>
        <w:spacing w:line="600" w:lineRule="exact"/>
        <w:jc w:val="center"/>
        <w:rPr>
          <w:rFonts w:hint="eastAsia" w:ascii="方正小标宋简体" w:hAnsi="方正小标宋简体" w:eastAsia="方正小标宋简体"/>
          <w:b/>
          <w:kern w:val="44"/>
          <w:sz w:val="44"/>
          <w:lang w:val="en-US"/>
        </w:rPr>
      </w:pPr>
      <w:r>
        <w:rPr>
          <w:rFonts w:hint="eastAsia" w:ascii="方正小标宋简体" w:hAnsi="方正小标宋简体" w:eastAsia="方正小标宋简体"/>
          <w:b/>
          <w:kern w:val="44"/>
          <w:sz w:val="44"/>
          <w:lang w:val="en-US"/>
        </w:rPr>
        <w:t>第三部分  2023年度部门决算情况说明</w:t>
      </w:r>
    </w:p>
    <w:p w14:paraId="77641F35">
      <w:pPr>
        <w:spacing w:line="580" w:lineRule="exact"/>
        <w:ind w:firstLine="600"/>
        <w:rPr>
          <w:rFonts w:hint="eastAsia" w:ascii="黑体" w:hAnsi="黑体" w:eastAsia="黑体"/>
          <w:kern w:val="2"/>
          <w:sz w:val="30"/>
          <w:lang w:val="zh-CN"/>
        </w:rPr>
      </w:pPr>
    </w:p>
    <w:p w14:paraId="60244B13">
      <w:pPr>
        <w:pStyle w:val="3"/>
        <w:keepNext/>
        <w:keepLines/>
        <w:spacing w:line="600" w:lineRule="exact"/>
        <w:ind w:firstLine="602"/>
        <w:jc w:val="both"/>
        <w:rPr>
          <w:rFonts w:hint="eastAsia" w:ascii="黑体" w:hAnsi="黑体" w:eastAsia="黑体"/>
          <w:b/>
          <w:sz w:val="30"/>
          <w:lang w:val="zh-CN"/>
        </w:rPr>
      </w:pPr>
      <w:r>
        <w:rPr>
          <w:rFonts w:hint="eastAsia" w:ascii="黑体" w:hAnsi="黑体" w:eastAsia="黑体"/>
          <w:b/>
          <w:sz w:val="30"/>
          <w:lang w:val="zh-CN"/>
        </w:rPr>
        <w:t>一、收入支出决算总体情况说明</w:t>
      </w:r>
    </w:p>
    <w:p w14:paraId="0CF2EE45">
      <w:pPr>
        <w:spacing w:line="580" w:lineRule="exact"/>
        <w:ind w:firstLine="602"/>
        <w:jc w:val="both"/>
        <w:rPr>
          <w:rFonts w:hint="eastAsia" w:ascii="仿宋" w:hAnsi="仿宋" w:eastAsia="仿宋"/>
          <w:sz w:val="30"/>
          <w:lang w:val="zh-CN"/>
        </w:rPr>
      </w:pPr>
      <w:r>
        <w:rPr>
          <w:rFonts w:hint="eastAsia" w:ascii="仿宋" w:hAnsi="仿宋" w:eastAsia="仿宋"/>
          <w:sz w:val="30"/>
          <w:lang w:val="zh-CN"/>
        </w:rPr>
        <w:t>天津市西青区梅江富力小学2023年度收入、支出决算总计</w:t>
      </w:r>
      <w:r>
        <w:rPr>
          <w:rFonts w:hint="eastAsia" w:ascii="仿宋" w:hAnsi="仿宋" w:eastAsia="仿宋"/>
          <w:kern w:val="2"/>
          <w:sz w:val="30"/>
          <w:lang w:val="zh-CN"/>
        </w:rPr>
        <w:t>22,461,631.96</w:t>
      </w:r>
      <w:r>
        <w:rPr>
          <w:rFonts w:hint="eastAsia" w:ascii="仿宋" w:hAnsi="仿宋" w:eastAsia="仿宋"/>
          <w:sz w:val="30"/>
          <w:lang w:val="en-US"/>
        </w:rPr>
        <w:t>元，与2022年度相比，收、支总计各</w:t>
      </w:r>
      <w:r>
        <w:rPr>
          <w:rFonts w:hint="eastAsia" w:ascii="仿宋" w:hAnsi="仿宋" w:eastAsia="仿宋"/>
          <w:kern w:val="2"/>
          <w:sz w:val="30"/>
          <w:lang w:val="en-US"/>
        </w:rPr>
        <w:t>增加2,746,272.26</w:t>
      </w:r>
      <w:r>
        <w:rPr>
          <w:rFonts w:hint="eastAsia" w:ascii="仿宋" w:hAnsi="仿宋" w:eastAsia="仿宋"/>
          <w:sz w:val="30"/>
          <w:lang w:val="en-US"/>
        </w:rPr>
        <w:t>元</w:t>
      </w:r>
      <w:r>
        <w:rPr>
          <w:rFonts w:hint="eastAsia" w:ascii="仿宋" w:hAnsi="仿宋" w:eastAsia="仿宋"/>
          <w:kern w:val="2"/>
          <w:sz w:val="30"/>
          <w:lang w:val="en-US"/>
        </w:rPr>
        <w:t>，增长13.93%，</w:t>
      </w:r>
      <w:r>
        <w:rPr>
          <w:rFonts w:hint="eastAsia" w:ascii="仿宋" w:hAnsi="仿宋" w:eastAsia="仿宋"/>
          <w:sz w:val="30"/>
          <w:lang w:val="zh-CN"/>
        </w:rPr>
        <w:t>主要原因是：学校学生增多，教师人数增多日常开销增多。</w:t>
      </w:r>
    </w:p>
    <w:p w14:paraId="7E2DCDE1">
      <w:pPr>
        <w:pStyle w:val="3"/>
        <w:keepNext/>
        <w:keepLines/>
        <w:spacing w:line="600" w:lineRule="exact"/>
        <w:ind w:firstLine="602"/>
        <w:jc w:val="both"/>
        <w:rPr>
          <w:rFonts w:hint="eastAsia" w:ascii="黑体" w:hAnsi="黑体" w:eastAsia="黑体"/>
          <w:b/>
          <w:sz w:val="30"/>
          <w:lang w:val="zh-CN"/>
        </w:rPr>
      </w:pPr>
      <w:r>
        <w:rPr>
          <w:rFonts w:hint="eastAsia" w:ascii="黑体" w:hAnsi="黑体" w:eastAsia="黑体"/>
          <w:b/>
          <w:sz w:val="30"/>
          <w:lang w:val="zh-CN"/>
        </w:rPr>
        <w:t>二、</w:t>
      </w:r>
      <w:r>
        <w:rPr>
          <w:rFonts w:hint="eastAsia" w:ascii="黑体" w:hAnsi="黑体" w:eastAsia="黑体"/>
          <w:b/>
          <w:sz w:val="30"/>
          <w:lang w:val="en-US"/>
        </w:rPr>
        <w:t>收入决算情况</w:t>
      </w:r>
      <w:r>
        <w:rPr>
          <w:rFonts w:hint="eastAsia" w:ascii="黑体" w:hAnsi="黑体" w:eastAsia="黑体"/>
          <w:b/>
          <w:sz w:val="30"/>
          <w:lang w:val="zh-CN"/>
        </w:rPr>
        <w:t>说明</w:t>
      </w:r>
    </w:p>
    <w:p w14:paraId="778DFE4A">
      <w:pPr>
        <w:spacing w:line="600" w:lineRule="exact"/>
        <w:ind w:firstLine="600"/>
        <w:jc w:val="both"/>
        <w:rPr>
          <w:rFonts w:hint="eastAsia" w:ascii="仿宋" w:hAnsi="仿宋" w:eastAsia="仿宋"/>
          <w:kern w:val="2"/>
          <w:sz w:val="30"/>
          <w:lang w:val="en-US"/>
        </w:rPr>
      </w:pPr>
      <w:r>
        <w:rPr>
          <w:rFonts w:hint="eastAsia" w:ascii="仿宋" w:hAnsi="仿宋" w:eastAsia="仿宋"/>
          <w:kern w:val="2"/>
          <w:sz w:val="30"/>
          <w:lang w:val="zh-CN"/>
        </w:rPr>
        <w:t>天津市西青区梅江富力小学2023年度本年收入合计22,461,631.96</w:t>
      </w:r>
      <w:r>
        <w:rPr>
          <w:rFonts w:hint="eastAsia" w:ascii="仿宋" w:hAnsi="仿宋" w:eastAsia="仿宋"/>
          <w:kern w:val="2"/>
          <w:sz w:val="30"/>
          <w:lang w:val="en-US"/>
        </w:rPr>
        <w:t>元，与2022年度相比增加2,746,272.26元，</w:t>
      </w:r>
      <w:r>
        <w:rPr>
          <w:rFonts w:hint="eastAsia" w:ascii="仿宋" w:hAnsi="仿宋" w:eastAsia="仿宋"/>
          <w:sz w:val="30"/>
          <w:lang w:val="zh-CN"/>
        </w:rPr>
        <w:t>主要原因是：学校学生增多，教师人数增多日常开销增多</w:t>
      </w:r>
      <w:r>
        <w:rPr>
          <w:rFonts w:hint="eastAsia" w:ascii="仿宋" w:hAnsi="仿宋" w:eastAsia="仿宋"/>
          <w:kern w:val="2"/>
          <w:sz w:val="30"/>
          <w:lang w:val="zh-CN"/>
        </w:rPr>
        <w:t>。</w:t>
      </w:r>
      <w:r>
        <w:rPr>
          <w:rFonts w:hint="eastAsia" w:ascii="仿宋" w:hAnsi="仿宋" w:eastAsia="仿宋"/>
          <w:kern w:val="2"/>
          <w:sz w:val="30"/>
          <w:lang w:val="en-US"/>
        </w:rPr>
        <w:t>其中：</w:t>
      </w:r>
      <w:r>
        <w:rPr>
          <w:rFonts w:hint="eastAsia" w:ascii="仿宋" w:hAnsi="仿宋" w:eastAsia="仿宋"/>
          <w:kern w:val="2"/>
          <w:sz w:val="30"/>
          <w:lang w:val="zh-CN"/>
        </w:rPr>
        <w:t>一般公共预算财政拨款收入22,461,631.96元，占100.00%；</w:t>
      </w:r>
    </w:p>
    <w:p w14:paraId="54EF34FE">
      <w:pPr>
        <w:pStyle w:val="3"/>
        <w:keepNext/>
        <w:keepLines/>
        <w:spacing w:line="600" w:lineRule="exact"/>
        <w:ind w:firstLine="602"/>
        <w:jc w:val="both"/>
        <w:rPr>
          <w:rFonts w:hint="eastAsia" w:ascii="黑体" w:hAnsi="黑体" w:eastAsia="黑体"/>
          <w:b/>
          <w:sz w:val="30"/>
          <w:lang w:val="en-US"/>
        </w:rPr>
      </w:pPr>
      <w:r>
        <w:rPr>
          <w:rFonts w:hint="eastAsia" w:ascii="黑体" w:hAnsi="黑体" w:eastAsia="黑体"/>
          <w:b/>
          <w:sz w:val="30"/>
          <w:lang w:val="zh-CN"/>
        </w:rPr>
        <w:t>三、支出</w:t>
      </w:r>
      <w:r>
        <w:rPr>
          <w:rFonts w:hint="eastAsia" w:ascii="黑体" w:hAnsi="黑体" w:eastAsia="黑体"/>
          <w:b/>
          <w:sz w:val="30"/>
          <w:lang w:val="en-US"/>
        </w:rPr>
        <w:t>决算情况说明</w:t>
      </w:r>
    </w:p>
    <w:p w14:paraId="104A8EB3">
      <w:pPr>
        <w:spacing w:line="580" w:lineRule="exact"/>
        <w:ind w:firstLine="600"/>
        <w:jc w:val="both"/>
        <w:rPr>
          <w:rFonts w:hint="eastAsia" w:ascii="仿宋" w:hAnsi="仿宋" w:eastAsia="仿宋"/>
          <w:kern w:val="2"/>
          <w:sz w:val="30"/>
          <w:lang w:val="en-US"/>
        </w:rPr>
      </w:pPr>
      <w:r>
        <w:rPr>
          <w:rFonts w:hint="eastAsia" w:ascii="仿宋" w:hAnsi="仿宋" w:eastAsia="仿宋"/>
          <w:kern w:val="2"/>
          <w:sz w:val="30"/>
          <w:lang w:val="en-US"/>
        </w:rPr>
        <w:t>天津市西青区梅江富力小学2023年度本年支出合计22,461,631.96元，与2022年度相比增加2,746,272.26元，</w:t>
      </w:r>
      <w:r>
        <w:rPr>
          <w:rFonts w:hint="eastAsia" w:ascii="仿宋" w:hAnsi="仿宋" w:eastAsia="仿宋"/>
          <w:kern w:val="2"/>
          <w:sz w:val="30"/>
          <w:lang w:val="zh-CN"/>
        </w:rPr>
        <w:t>主要原因是：</w:t>
      </w:r>
      <w:r>
        <w:rPr>
          <w:rFonts w:hint="eastAsia" w:ascii="仿宋" w:hAnsi="仿宋" w:eastAsia="仿宋"/>
          <w:sz w:val="30"/>
          <w:lang w:val="zh-CN"/>
        </w:rPr>
        <w:t>学校学生增多，教师人数增多日常开销增多</w:t>
      </w:r>
      <w:r>
        <w:rPr>
          <w:rFonts w:hint="eastAsia" w:ascii="仿宋" w:hAnsi="仿宋" w:eastAsia="仿宋"/>
          <w:kern w:val="2"/>
          <w:sz w:val="30"/>
          <w:lang w:val="zh-CN"/>
        </w:rPr>
        <w:t>。</w:t>
      </w:r>
      <w:r>
        <w:rPr>
          <w:rFonts w:hint="eastAsia" w:ascii="仿宋" w:hAnsi="仿宋" w:eastAsia="仿宋"/>
          <w:kern w:val="2"/>
          <w:sz w:val="30"/>
          <w:lang w:val="en-US"/>
        </w:rPr>
        <w:t>其中：</w:t>
      </w:r>
      <w:r>
        <w:rPr>
          <w:rFonts w:hint="eastAsia" w:ascii="仿宋" w:hAnsi="仿宋" w:eastAsia="仿宋"/>
          <w:kern w:val="2"/>
          <w:sz w:val="30"/>
          <w:lang w:val="zh-CN"/>
        </w:rPr>
        <w:t>基本支出22,461,631.96元，占100.00%；</w:t>
      </w:r>
    </w:p>
    <w:p w14:paraId="363AD108">
      <w:pPr>
        <w:pStyle w:val="3"/>
        <w:keepNext/>
        <w:keepLines/>
        <w:spacing w:line="600" w:lineRule="exact"/>
        <w:ind w:firstLine="602"/>
        <w:jc w:val="both"/>
        <w:rPr>
          <w:rFonts w:hint="eastAsia" w:ascii="黑体" w:hAnsi="黑体" w:eastAsia="黑体"/>
          <w:b/>
          <w:sz w:val="30"/>
          <w:lang w:val="zh-CN"/>
        </w:rPr>
      </w:pPr>
      <w:r>
        <w:rPr>
          <w:rFonts w:hint="eastAsia" w:ascii="黑体" w:hAnsi="黑体" w:eastAsia="黑体"/>
          <w:b/>
          <w:sz w:val="30"/>
          <w:lang w:val="zh-CN"/>
        </w:rPr>
        <w:t>四、财政拨款收支决算总体情况说明</w:t>
      </w:r>
    </w:p>
    <w:p w14:paraId="7995B5A7">
      <w:pPr>
        <w:spacing w:line="580" w:lineRule="exact"/>
        <w:ind w:firstLine="600"/>
        <w:jc w:val="both"/>
        <w:rPr>
          <w:rFonts w:hint="eastAsia" w:ascii="仿宋" w:hAnsi="仿宋" w:eastAsia="仿宋"/>
          <w:kern w:val="2"/>
          <w:sz w:val="30"/>
          <w:lang w:val="en-US"/>
        </w:rPr>
      </w:pPr>
      <w:r>
        <w:rPr>
          <w:rFonts w:hint="eastAsia" w:ascii="仿宋" w:hAnsi="仿宋" w:eastAsia="仿宋"/>
          <w:kern w:val="2"/>
          <w:sz w:val="30"/>
          <w:lang w:val="en-US"/>
        </w:rPr>
        <w:t>天津市西青区梅江富力小学2023年度财政拨款收入、支出决算总计</w:t>
      </w:r>
      <w:r>
        <w:rPr>
          <w:rFonts w:hint="eastAsia" w:ascii="仿宋" w:hAnsi="仿宋" w:eastAsia="仿宋"/>
          <w:kern w:val="2"/>
          <w:sz w:val="30"/>
          <w:lang w:val="zh-CN"/>
        </w:rPr>
        <w:t>22,461,631.96</w:t>
      </w:r>
      <w:r>
        <w:rPr>
          <w:rFonts w:hint="eastAsia" w:ascii="仿宋" w:hAnsi="仿宋" w:eastAsia="仿宋"/>
          <w:kern w:val="2"/>
          <w:sz w:val="30"/>
          <w:lang w:val="en-US"/>
        </w:rPr>
        <w:t>元，与2022年度相比，财政拨款收、支总计各增加2,746,272.26元，增长13.93%，</w:t>
      </w:r>
      <w:r>
        <w:rPr>
          <w:rFonts w:hint="eastAsia" w:ascii="仿宋" w:hAnsi="仿宋" w:eastAsia="仿宋"/>
          <w:kern w:val="2"/>
          <w:sz w:val="30"/>
          <w:lang w:val="zh-CN"/>
        </w:rPr>
        <w:t>主要原因是：</w:t>
      </w:r>
      <w:r>
        <w:rPr>
          <w:rFonts w:hint="eastAsia" w:ascii="仿宋" w:hAnsi="仿宋" w:eastAsia="仿宋"/>
          <w:sz w:val="30"/>
          <w:lang w:val="zh-CN"/>
        </w:rPr>
        <w:t>学校学生增多，教师人数增多日常开销增多</w:t>
      </w:r>
      <w:r>
        <w:rPr>
          <w:rFonts w:hint="eastAsia" w:ascii="仿宋" w:hAnsi="仿宋" w:eastAsia="仿宋"/>
          <w:kern w:val="2"/>
          <w:sz w:val="30"/>
          <w:lang w:val="zh-CN"/>
        </w:rPr>
        <w:t>。</w:t>
      </w:r>
    </w:p>
    <w:p w14:paraId="0DA76F99">
      <w:pPr>
        <w:pStyle w:val="3"/>
        <w:keepNext/>
        <w:keepLines/>
        <w:spacing w:line="600" w:lineRule="exact"/>
        <w:ind w:firstLine="602"/>
        <w:jc w:val="both"/>
        <w:rPr>
          <w:rFonts w:hint="eastAsia" w:ascii="黑体" w:hAnsi="黑体" w:eastAsia="黑体"/>
          <w:b/>
          <w:sz w:val="30"/>
          <w:lang w:val="en-US"/>
        </w:rPr>
      </w:pPr>
      <w:r>
        <w:rPr>
          <w:rFonts w:hint="eastAsia" w:ascii="黑体" w:hAnsi="黑体" w:eastAsia="黑体"/>
          <w:b/>
          <w:sz w:val="30"/>
          <w:lang w:val="en-US"/>
        </w:rPr>
        <w:t>五、一般公共预算财政拨款支出决算情况说明</w:t>
      </w:r>
    </w:p>
    <w:p w14:paraId="1BD2B987">
      <w:pPr>
        <w:spacing w:line="600" w:lineRule="exact"/>
        <w:ind w:left="480"/>
        <w:jc w:val="both"/>
        <w:rPr>
          <w:rFonts w:hint="eastAsia" w:ascii="楷体" w:hAnsi="楷体" w:eastAsia="楷体"/>
          <w:b/>
          <w:sz w:val="30"/>
          <w:lang w:val="en-US"/>
        </w:rPr>
      </w:pPr>
      <w:r>
        <w:rPr>
          <w:rFonts w:hint="eastAsia" w:ascii="楷体" w:hAnsi="楷体" w:eastAsia="楷体"/>
          <w:b/>
          <w:sz w:val="30"/>
          <w:lang w:val="en-US"/>
        </w:rPr>
        <w:t>（一）总体情况</w:t>
      </w:r>
    </w:p>
    <w:p w14:paraId="11481757">
      <w:pPr>
        <w:spacing w:line="580" w:lineRule="exact"/>
        <w:ind w:firstLine="600"/>
        <w:jc w:val="both"/>
        <w:rPr>
          <w:rFonts w:hint="eastAsia" w:ascii="仿宋" w:hAnsi="仿宋" w:eastAsia="仿宋"/>
          <w:sz w:val="30"/>
          <w:lang w:val="en-US"/>
        </w:rPr>
      </w:pPr>
      <w:r>
        <w:rPr>
          <w:rFonts w:hint="eastAsia" w:ascii="仿宋" w:hAnsi="仿宋" w:eastAsia="仿宋"/>
          <w:kern w:val="2"/>
          <w:sz w:val="30"/>
          <w:lang w:val="en-US"/>
        </w:rPr>
        <w:t>天津市西青区梅江富力小学2023年度部门决算一般公共预算财政拨款支出</w:t>
      </w:r>
      <w:r>
        <w:rPr>
          <w:rFonts w:hint="eastAsia" w:ascii="仿宋" w:hAnsi="仿宋" w:eastAsia="仿宋"/>
          <w:kern w:val="2"/>
          <w:sz w:val="30"/>
          <w:lang w:val="zh-CN"/>
        </w:rPr>
        <w:t>合</w:t>
      </w:r>
      <w:r>
        <w:rPr>
          <w:rFonts w:hint="eastAsia" w:ascii="仿宋" w:hAnsi="仿宋" w:eastAsia="仿宋"/>
          <w:kern w:val="2"/>
          <w:sz w:val="30"/>
          <w:lang w:val="en-US"/>
        </w:rPr>
        <w:t>计22,461,631.96元，占本年支出合计的100.00%，与2022年度相比，增加2,746,272.26元，增长13.93%，</w:t>
      </w:r>
      <w:r>
        <w:rPr>
          <w:rFonts w:hint="eastAsia" w:ascii="仿宋" w:hAnsi="仿宋" w:eastAsia="仿宋"/>
          <w:kern w:val="2"/>
          <w:sz w:val="30"/>
          <w:lang w:val="zh-CN"/>
        </w:rPr>
        <w:t>主要原因是：</w:t>
      </w:r>
      <w:r>
        <w:rPr>
          <w:rFonts w:hint="eastAsia" w:ascii="仿宋" w:hAnsi="仿宋" w:eastAsia="仿宋"/>
          <w:sz w:val="30"/>
          <w:lang w:val="zh-CN"/>
        </w:rPr>
        <w:t>学校学生增多，教师人数增多日常开销增多</w:t>
      </w:r>
      <w:r>
        <w:rPr>
          <w:rFonts w:hint="eastAsia" w:ascii="仿宋" w:hAnsi="仿宋" w:eastAsia="仿宋"/>
          <w:kern w:val="2"/>
          <w:sz w:val="30"/>
          <w:lang w:val="en-US"/>
        </w:rPr>
        <w:t>。</w:t>
      </w:r>
    </w:p>
    <w:p w14:paraId="6DE3F815">
      <w:pPr>
        <w:spacing w:line="600" w:lineRule="exact"/>
        <w:ind w:left="480"/>
        <w:jc w:val="both"/>
        <w:rPr>
          <w:rFonts w:hint="eastAsia" w:ascii="楷体" w:hAnsi="楷体" w:eastAsia="楷体"/>
          <w:b/>
          <w:sz w:val="30"/>
          <w:lang w:val="en-US"/>
        </w:rPr>
      </w:pPr>
      <w:r>
        <w:rPr>
          <w:rFonts w:hint="eastAsia" w:ascii="楷体" w:hAnsi="楷体" w:eastAsia="楷体"/>
          <w:b/>
          <w:sz w:val="30"/>
          <w:lang w:val="en-US"/>
        </w:rPr>
        <w:t>（二）</w:t>
      </w:r>
      <w:r>
        <w:rPr>
          <w:rFonts w:hint="eastAsia" w:ascii="楷体" w:hAnsi="楷体" w:eastAsia="楷体"/>
          <w:b/>
          <w:sz w:val="30"/>
          <w:lang w:val="zh-CN"/>
        </w:rPr>
        <w:t>支出结构</w:t>
      </w:r>
      <w:r>
        <w:rPr>
          <w:rFonts w:hint="eastAsia" w:ascii="楷体" w:hAnsi="楷体" w:eastAsia="楷体"/>
          <w:b/>
          <w:sz w:val="30"/>
          <w:lang w:val="en-US"/>
        </w:rPr>
        <w:t>情况</w:t>
      </w:r>
    </w:p>
    <w:p w14:paraId="1549F1DC">
      <w:pPr>
        <w:spacing w:line="600" w:lineRule="exact"/>
        <w:ind w:firstLine="720"/>
        <w:jc w:val="both"/>
        <w:rPr>
          <w:rFonts w:hint="eastAsia" w:ascii="仿宋" w:hAnsi="仿宋" w:eastAsia="仿宋"/>
          <w:kern w:val="2"/>
          <w:sz w:val="30"/>
          <w:lang w:val="zh-CN"/>
        </w:rPr>
      </w:pPr>
      <w:r>
        <w:rPr>
          <w:rFonts w:hint="eastAsia" w:ascii="仿宋" w:hAnsi="仿宋" w:eastAsia="仿宋"/>
          <w:kern w:val="2"/>
          <w:sz w:val="30"/>
          <w:lang w:val="en-US"/>
        </w:rPr>
        <w:t>2023年度一般公共预算财政拨款支出22,461,631.96元，</w:t>
      </w:r>
      <w:r>
        <w:rPr>
          <w:rFonts w:hint="eastAsia" w:ascii="仿宋" w:hAnsi="仿宋" w:eastAsia="仿宋"/>
          <w:sz w:val="30"/>
          <w:lang w:val="en-US"/>
        </w:rPr>
        <w:t>主要用于以下方面：</w:t>
      </w:r>
      <w:r>
        <w:rPr>
          <w:rFonts w:hint="eastAsia" w:ascii="仿宋" w:hAnsi="仿宋" w:eastAsia="仿宋"/>
          <w:kern w:val="2"/>
          <w:sz w:val="30"/>
          <w:lang w:val="zh-CN"/>
        </w:rPr>
        <w:t>教育支出19,804,688.34元，占88.17%；社会保障和就业支出1,840,027.30元，占8.19%；卫生健康支出816,916.32元，占3.64%；</w:t>
      </w:r>
    </w:p>
    <w:p w14:paraId="419C2E33">
      <w:pPr>
        <w:spacing w:line="600" w:lineRule="exact"/>
        <w:ind w:left="480"/>
        <w:jc w:val="both"/>
        <w:rPr>
          <w:rFonts w:hint="eastAsia" w:ascii="楷体" w:hAnsi="楷体" w:eastAsia="楷体"/>
          <w:b/>
          <w:sz w:val="30"/>
          <w:lang w:val="en-US"/>
        </w:rPr>
      </w:pPr>
      <w:r>
        <w:rPr>
          <w:rFonts w:hint="eastAsia" w:ascii="楷体" w:hAnsi="楷体" w:eastAsia="楷体"/>
          <w:b/>
          <w:sz w:val="30"/>
          <w:lang w:val="en-US"/>
        </w:rPr>
        <w:t>（三）具体情况</w:t>
      </w:r>
    </w:p>
    <w:p w14:paraId="4FA1F3B3">
      <w:pPr>
        <w:spacing w:line="600" w:lineRule="exact"/>
        <w:ind w:firstLine="600"/>
        <w:jc w:val="both"/>
        <w:rPr>
          <w:rFonts w:hint="eastAsia" w:ascii="仿宋" w:hAnsi="仿宋" w:eastAsia="仿宋"/>
          <w:sz w:val="30"/>
          <w:lang w:val="en-US"/>
        </w:rPr>
      </w:pPr>
      <w:r>
        <w:rPr>
          <w:rFonts w:hint="eastAsia" w:ascii="仿宋" w:hAnsi="仿宋" w:eastAsia="仿宋"/>
          <w:sz w:val="30"/>
          <w:lang w:val="en-US"/>
        </w:rPr>
        <w:t>2023年度一般公共预算财政拨款支出年初预算为</w:t>
      </w:r>
      <w:r>
        <w:rPr>
          <w:rFonts w:hint="eastAsia" w:ascii="仿宋" w:hAnsi="仿宋" w:eastAsia="仿宋"/>
          <w:kern w:val="2"/>
          <w:sz w:val="30"/>
          <w:lang w:val="en-US"/>
        </w:rPr>
        <w:t>20,976,200.00</w:t>
      </w:r>
      <w:r>
        <w:rPr>
          <w:rFonts w:hint="eastAsia" w:ascii="仿宋" w:hAnsi="仿宋" w:eastAsia="仿宋"/>
          <w:sz w:val="30"/>
          <w:lang w:val="en-US"/>
        </w:rPr>
        <w:t>元，支出决算为</w:t>
      </w:r>
      <w:r>
        <w:rPr>
          <w:rFonts w:hint="eastAsia" w:ascii="仿宋" w:hAnsi="仿宋" w:eastAsia="仿宋"/>
          <w:kern w:val="2"/>
          <w:sz w:val="30"/>
          <w:lang w:val="en-US"/>
        </w:rPr>
        <w:t>22,461,631.96</w:t>
      </w:r>
      <w:r>
        <w:rPr>
          <w:rFonts w:hint="eastAsia" w:ascii="仿宋" w:hAnsi="仿宋" w:eastAsia="仿宋"/>
          <w:sz w:val="30"/>
          <w:lang w:val="en-US"/>
        </w:rPr>
        <w:t>元，完成年初预算的</w:t>
      </w:r>
      <w:r>
        <w:rPr>
          <w:rFonts w:hint="eastAsia" w:ascii="仿宋" w:hAnsi="仿宋" w:eastAsia="仿宋"/>
          <w:kern w:val="2"/>
          <w:sz w:val="30"/>
          <w:lang w:val="en-US"/>
        </w:rPr>
        <w:t>107.08</w:t>
      </w:r>
      <w:r>
        <w:rPr>
          <w:rFonts w:hint="eastAsia" w:ascii="仿宋" w:hAnsi="仿宋" w:eastAsia="仿宋"/>
          <w:sz w:val="30"/>
          <w:lang w:val="en-US"/>
        </w:rPr>
        <w:t>%。其中：</w:t>
      </w:r>
    </w:p>
    <w:p w14:paraId="4532A474">
      <w:pPr>
        <w:spacing w:line="600" w:lineRule="exact"/>
        <w:ind w:firstLine="600"/>
        <w:jc w:val="both"/>
        <w:rPr>
          <w:rFonts w:hint="eastAsia" w:ascii="仿宋" w:hAnsi="仿宋" w:eastAsia="仿宋"/>
          <w:sz w:val="30"/>
          <w:lang w:val="en-US"/>
        </w:rPr>
      </w:pPr>
      <w:r>
        <w:rPr>
          <w:rFonts w:hint="eastAsia" w:ascii="仿宋" w:hAnsi="仿宋" w:eastAsia="仿宋"/>
          <w:sz w:val="30"/>
          <w:lang w:val="en-US" w:eastAsia="zh-CN"/>
        </w:rPr>
        <w:t>1.</w:t>
      </w:r>
      <w:r>
        <w:rPr>
          <w:rFonts w:hint="eastAsia" w:ascii="仿宋" w:hAnsi="仿宋" w:eastAsia="仿宋"/>
          <w:sz w:val="30"/>
          <w:lang w:val="en-US"/>
        </w:rPr>
        <w:t>教育支出(类)普通教育(款)小学教育(项)年初预算为18,367,100.00元，支出决算为19,804,688.34元，完成年初预算的107.83%，决算数大于年初预算数的主要原因是</w:t>
      </w:r>
      <w:r>
        <w:rPr>
          <w:rFonts w:hint="eastAsia" w:ascii="仿宋" w:hAnsi="仿宋" w:eastAsia="仿宋"/>
          <w:sz w:val="30"/>
          <w:lang w:val="en-US" w:eastAsia="zh-CN"/>
        </w:rPr>
        <w:t>教师人员增多。</w:t>
      </w:r>
    </w:p>
    <w:p w14:paraId="6FDC3AAD">
      <w:pPr>
        <w:spacing w:line="600" w:lineRule="exact"/>
        <w:ind w:firstLine="600"/>
        <w:jc w:val="both"/>
        <w:rPr>
          <w:rFonts w:hint="eastAsia" w:ascii="仿宋" w:hAnsi="仿宋" w:eastAsia="仿宋"/>
          <w:sz w:val="30"/>
          <w:lang w:val="en-US"/>
        </w:rPr>
      </w:pPr>
      <w:r>
        <w:rPr>
          <w:rFonts w:hint="eastAsia" w:ascii="仿宋" w:hAnsi="仿宋" w:eastAsia="仿宋"/>
          <w:sz w:val="30"/>
          <w:lang w:val="en-US" w:eastAsia="zh-CN"/>
        </w:rPr>
        <w:t>2.</w:t>
      </w:r>
      <w:r>
        <w:rPr>
          <w:rFonts w:hint="eastAsia" w:ascii="仿宋" w:hAnsi="仿宋" w:eastAsia="仿宋"/>
          <w:sz w:val="30"/>
          <w:lang w:val="en-US"/>
        </w:rPr>
        <w:t>社会保障和就业支出(类)行政事业单位养老支出(款)事业单位离退休(项)年初预算为5,900.00元，支出决算为5,110.40元，完成年初预算的86.62%，决算数小于年初预算数的主要原因是</w:t>
      </w:r>
      <w:r>
        <w:rPr>
          <w:rFonts w:hint="eastAsia" w:ascii="仿宋" w:hAnsi="仿宋" w:eastAsia="仿宋"/>
          <w:sz w:val="30"/>
          <w:lang w:val="en-US" w:eastAsia="zh-CN"/>
        </w:rPr>
        <w:t>职工当年退休。</w:t>
      </w:r>
    </w:p>
    <w:p w14:paraId="021FD0E5">
      <w:pPr>
        <w:spacing w:line="600" w:lineRule="exact"/>
        <w:ind w:firstLine="600"/>
        <w:jc w:val="both"/>
        <w:rPr>
          <w:rFonts w:hint="eastAsia" w:ascii="仿宋" w:hAnsi="仿宋" w:eastAsia="仿宋"/>
          <w:sz w:val="30"/>
          <w:lang w:val="en-US"/>
        </w:rPr>
      </w:pPr>
      <w:r>
        <w:rPr>
          <w:rFonts w:hint="eastAsia" w:ascii="仿宋" w:hAnsi="仿宋" w:eastAsia="仿宋"/>
          <w:sz w:val="30"/>
          <w:lang w:val="en-US" w:eastAsia="zh-CN"/>
        </w:rPr>
        <w:t>3.</w:t>
      </w:r>
      <w:r>
        <w:rPr>
          <w:rFonts w:hint="eastAsia" w:ascii="仿宋" w:hAnsi="仿宋" w:eastAsia="仿宋"/>
          <w:sz w:val="30"/>
          <w:lang w:val="en-US"/>
        </w:rPr>
        <w:t>社会保障和就业支出(类)行政事业单位养老支出(款)机关事业单位基本养老保险缴费支出(项)年初预算为1,183,300.00元，支出决算为1,248,595.09元，完成年初预算的105.52%，决算数大于年初预算数的主要原因是</w:t>
      </w:r>
      <w:r>
        <w:rPr>
          <w:rFonts w:hint="eastAsia" w:ascii="仿宋" w:hAnsi="仿宋" w:eastAsia="仿宋"/>
          <w:sz w:val="30"/>
          <w:lang w:val="en-US" w:eastAsia="zh-CN"/>
        </w:rPr>
        <w:t>教职工增加，保险基数上调。</w:t>
      </w:r>
    </w:p>
    <w:p w14:paraId="56789B32">
      <w:pPr>
        <w:spacing w:line="600" w:lineRule="exact"/>
        <w:ind w:firstLine="600"/>
        <w:jc w:val="both"/>
        <w:rPr>
          <w:rFonts w:hint="eastAsia" w:ascii="仿宋" w:hAnsi="仿宋" w:eastAsia="仿宋"/>
          <w:sz w:val="30"/>
          <w:lang w:val="en-US"/>
        </w:rPr>
      </w:pPr>
      <w:r>
        <w:rPr>
          <w:rFonts w:hint="eastAsia" w:ascii="仿宋" w:hAnsi="仿宋" w:eastAsia="仿宋"/>
          <w:sz w:val="30"/>
          <w:lang w:val="en-US" w:eastAsia="zh-CN"/>
        </w:rPr>
        <w:t>4.</w:t>
      </w:r>
      <w:r>
        <w:rPr>
          <w:rFonts w:hint="eastAsia" w:ascii="仿宋" w:hAnsi="仿宋" w:eastAsia="仿宋"/>
          <w:sz w:val="30"/>
          <w:lang w:val="en-US"/>
        </w:rPr>
        <w:t>社会保障和就业支出(类)行政事业单位养老支出(款)机关事业单位职业年金缴费支出(项)年初预算为591,700.00元，支出决算为586,321.81元，完成年初预算的99.09%，决算数小于年初预算数的主要原因是</w:t>
      </w:r>
      <w:r>
        <w:rPr>
          <w:rFonts w:hint="eastAsia" w:ascii="仿宋" w:hAnsi="仿宋" w:eastAsia="仿宋"/>
          <w:sz w:val="30"/>
          <w:lang w:val="en-US" w:eastAsia="zh-CN"/>
        </w:rPr>
        <w:t>按实际发生列支，与预算基本持平。</w:t>
      </w:r>
    </w:p>
    <w:p w14:paraId="157E79EE">
      <w:pPr>
        <w:spacing w:line="600" w:lineRule="exact"/>
        <w:ind w:firstLine="600"/>
        <w:jc w:val="both"/>
        <w:rPr>
          <w:rFonts w:hint="eastAsia" w:ascii="仿宋" w:hAnsi="仿宋" w:eastAsia="仿宋"/>
          <w:sz w:val="30"/>
          <w:lang w:val="en-US"/>
        </w:rPr>
      </w:pPr>
      <w:r>
        <w:rPr>
          <w:rFonts w:hint="eastAsia" w:ascii="仿宋" w:hAnsi="仿宋" w:eastAsia="仿宋"/>
          <w:sz w:val="30"/>
          <w:lang w:val="en-US" w:eastAsia="zh-CN"/>
        </w:rPr>
        <w:t>5.</w:t>
      </w:r>
      <w:r>
        <w:rPr>
          <w:rFonts w:hint="eastAsia" w:ascii="仿宋" w:hAnsi="仿宋" w:eastAsia="仿宋"/>
          <w:sz w:val="30"/>
          <w:lang w:val="en-US"/>
        </w:rPr>
        <w:t>卫生健康支出(类)行政事业单位医疗(款)事业单位医疗(项)年初预算为776,500.00元，支出决算为765,382.32元，完成年初预算的98.57%，决算数小于年初预算数的主要原因是</w:t>
      </w:r>
      <w:r>
        <w:rPr>
          <w:rFonts w:hint="eastAsia" w:ascii="仿宋" w:hAnsi="仿宋" w:eastAsia="仿宋"/>
          <w:sz w:val="30"/>
          <w:lang w:val="en-US" w:eastAsia="zh-CN"/>
        </w:rPr>
        <w:t>保险基数调整。</w:t>
      </w:r>
      <w:bookmarkStart w:id="0" w:name="_GoBack"/>
      <w:bookmarkEnd w:id="0"/>
    </w:p>
    <w:p w14:paraId="50197B61">
      <w:pPr>
        <w:spacing w:line="600" w:lineRule="exact"/>
        <w:ind w:firstLine="600"/>
        <w:jc w:val="both"/>
        <w:rPr>
          <w:rFonts w:hint="eastAsia" w:ascii="仿宋" w:hAnsi="仿宋" w:eastAsia="仿宋"/>
          <w:sz w:val="30"/>
          <w:lang w:val="en-US"/>
        </w:rPr>
      </w:pPr>
      <w:r>
        <w:rPr>
          <w:rFonts w:hint="eastAsia" w:ascii="仿宋" w:hAnsi="仿宋" w:eastAsia="仿宋"/>
          <w:sz w:val="30"/>
          <w:lang w:val="en-US" w:eastAsia="zh-CN"/>
        </w:rPr>
        <w:t>6.</w:t>
      </w:r>
      <w:r>
        <w:rPr>
          <w:rFonts w:hint="eastAsia" w:ascii="仿宋" w:hAnsi="仿宋" w:eastAsia="仿宋"/>
          <w:sz w:val="30"/>
          <w:lang w:val="en-US"/>
        </w:rPr>
        <w:t>卫生健康支出(类)行政事业单位医疗(款)其他行政事业单位医疗支出(项)年初预算为51,700.00元，支出决算为51,534.00元，完成年初预算的99.68%，决算数小于年初预算数的主要原因是</w:t>
      </w:r>
      <w:r>
        <w:rPr>
          <w:rFonts w:hint="eastAsia" w:ascii="仿宋" w:hAnsi="仿宋" w:eastAsia="仿宋"/>
          <w:sz w:val="30"/>
          <w:lang w:val="en-US" w:eastAsia="zh-CN"/>
        </w:rPr>
        <w:t>保险钱数调整。</w:t>
      </w:r>
    </w:p>
    <w:p w14:paraId="66D56060">
      <w:pPr>
        <w:pStyle w:val="3"/>
        <w:keepNext/>
        <w:keepLines/>
        <w:spacing w:line="600" w:lineRule="exact"/>
        <w:ind w:firstLine="602"/>
        <w:jc w:val="both"/>
        <w:rPr>
          <w:rFonts w:hint="eastAsia" w:ascii="黑体" w:hAnsi="黑体" w:eastAsia="黑体"/>
          <w:b/>
          <w:sz w:val="30"/>
          <w:lang w:val="en-US"/>
        </w:rPr>
      </w:pPr>
      <w:r>
        <w:rPr>
          <w:rFonts w:hint="eastAsia" w:ascii="黑体" w:hAnsi="黑体" w:eastAsia="黑体"/>
          <w:b/>
          <w:sz w:val="30"/>
          <w:lang w:val="en-US"/>
        </w:rPr>
        <w:t>六、一般公共预算财政拨款基本支出决算情况说明</w:t>
      </w:r>
    </w:p>
    <w:p w14:paraId="4AC21926">
      <w:pPr>
        <w:spacing w:line="580" w:lineRule="exact"/>
        <w:ind w:firstLine="600"/>
        <w:jc w:val="both"/>
        <w:rPr>
          <w:rFonts w:hint="eastAsia" w:ascii="仿宋" w:hAnsi="仿宋" w:eastAsia="仿宋"/>
          <w:sz w:val="30"/>
          <w:lang w:val="en-US"/>
        </w:rPr>
      </w:pPr>
      <w:r>
        <w:rPr>
          <w:rFonts w:hint="eastAsia" w:ascii="仿宋" w:hAnsi="仿宋" w:eastAsia="仿宋"/>
          <w:kern w:val="2"/>
          <w:sz w:val="30"/>
          <w:lang w:val="en-US"/>
        </w:rPr>
        <w:t>天津市西青区梅江富力小学2023年度部门决算一般公共预算财政拨款基本支出合计22,461,631.96元，与2022年度相比增加3,289,238.26元，</w:t>
      </w:r>
      <w:r>
        <w:rPr>
          <w:rFonts w:hint="eastAsia" w:ascii="仿宋" w:hAnsi="仿宋" w:eastAsia="仿宋"/>
          <w:sz w:val="30"/>
          <w:lang w:val="en-US"/>
        </w:rPr>
        <w:t>主要原因是</w:t>
      </w:r>
      <w:r>
        <w:rPr>
          <w:rFonts w:hint="eastAsia" w:ascii="仿宋" w:hAnsi="仿宋" w:eastAsia="仿宋"/>
          <w:kern w:val="2"/>
          <w:sz w:val="30"/>
          <w:lang w:val="zh-CN"/>
        </w:rPr>
        <w:t>：</w:t>
      </w:r>
      <w:r>
        <w:rPr>
          <w:rFonts w:hint="eastAsia" w:ascii="仿宋" w:hAnsi="仿宋" w:eastAsia="仿宋"/>
          <w:sz w:val="30"/>
          <w:lang w:val="zh-CN"/>
        </w:rPr>
        <w:t>学校学生增多，教师人数增多日常开销增多</w:t>
      </w:r>
      <w:r>
        <w:rPr>
          <w:rFonts w:hint="eastAsia" w:ascii="仿宋" w:hAnsi="仿宋" w:eastAsia="仿宋"/>
          <w:kern w:val="2"/>
          <w:sz w:val="30"/>
          <w:lang w:val="en-US"/>
        </w:rPr>
        <w:t>。</w:t>
      </w:r>
      <w:r>
        <w:rPr>
          <w:rFonts w:hint="eastAsia" w:ascii="仿宋" w:hAnsi="仿宋" w:eastAsia="仿宋"/>
          <w:sz w:val="30"/>
          <w:lang w:val="en-US"/>
        </w:rPr>
        <w:t>其中：</w:t>
      </w:r>
    </w:p>
    <w:p w14:paraId="6E74C0F3">
      <w:pPr>
        <w:spacing w:line="580" w:lineRule="exact"/>
        <w:ind w:firstLine="600"/>
        <w:jc w:val="both"/>
        <w:rPr>
          <w:rFonts w:hint="eastAsia" w:ascii="仿宋" w:hAnsi="仿宋" w:eastAsia="仿宋"/>
          <w:sz w:val="30"/>
          <w:lang w:val="en-US"/>
        </w:rPr>
      </w:pPr>
      <w:r>
        <w:rPr>
          <w:rFonts w:hint="eastAsia" w:ascii="仿宋" w:hAnsi="仿宋" w:eastAsia="仿宋"/>
          <w:sz w:val="30"/>
          <w:lang w:val="en-US"/>
        </w:rPr>
        <w:t>人员经费</w:t>
      </w:r>
      <w:r>
        <w:rPr>
          <w:rFonts w:hint="eastAsia" w:ascii="仿宋" w:hAnsi="仿宋" w:eastAsia="仿宋"/>
          <w:kern w:val="2"/>
          <w:sz w:val="30"/>
          <w:lang w:val="en-US"/>
        </w:rPr>
        <w:t>18,785,447.22</w:t>
      </w:r>
      <w:r>
        <w:rPr>
          <w:rFonts w:hint="eastAsia" w:ascii="仿宋" w:hAnsi="仿宋" w:eastAsia="仿宋"/>
          <w:sz w:val="30"/>
          <w:lang w:val="en-US"/>
        </w:rPr>
        <w:t>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33A28343">
      <w:pPr>
        <w:spacing w:line="580" w:lineRule="exact"/>
        <w:ind w:firstLine="600"/>
        <w:jc w:val="both"/>
        <w:rPr>
          <w:rFonts w:hint="eastAsia" w:ascii="仿宋" w:hAnsi="仿宋" w:eastAsia="仿宋"/>
          <w:kern w:val="2"/>
          <w:sz w:val="30"/>
          <w:lang w:val="en-US"/>
        </w:rPr>
      </w:pPr>
      <w:r>
        <w:rPr>
          <w:rFonts w:hint="eastAsia" w:ascii="仿宋" w:hAnsi="仿宋" w:eastAsia="仿宋"/>
          <w:sz w:val="30"/>
          <w:lang w:val="en-US"/>
        </w:rPr>
        <w:t>公用经费</w:t>
      </w:r>
      <w:r>
        <w:rPr>
          <w:rFonts w:hint="eastAsia" w:ascii="仿宋" w:hAnsi="仿宋" w:eastAsia="仿宋"/>
          <w:kern w:val="2"/>
          <w:sz w:val="30"/>
          <w:lang w:val="en-US"/>
        </w:rPr>
        <w:t>3,676,184.74</w:t>
      </w:r>
      <w:r>
        <w:rPr>
          <w:rFonts w:hint="eastAsia" w:ascii="仿宋" w:hAnsi="仿宋" w:eastAsia="仿宋"/>
          <w:sz w:val="30"/>
          <w:lang w:val="en-US"/>
        </w:rPr>
        <w:t>元，主要包括办公费、水费、电费、邮电费、差旅费、维修(护)费、培训费、专用材料费、委托业务费、工会经费、福利费。</w:t>
      </w:r>
    </w:p>
    <w:p w14:paraId="35461EB0">
      <w:pPr>
        <w:pStyle w:val="3"/>
        <w:keepNext/>
        <w:keepLines/>
        <w:spacing w:line="600" w:lineRule="exact"/>
        <w:ind w:firstLine="602"/>
        <w:jc w:val="both"/>
        <w:rPr>
          <w:rFonts w:hint="eastAsia" w:ascii="黑体" w:hAnsi="黑体" w:eastAsia="黑体"/>
          <w:b/>
          <w:sz w:val="30"/>
          <w:lang w:val="en-US"/>
        </w:rPr>
      </w:pPr>
      <w:r>
        <w:rPr>
          <w:rFonts w:hint="eastAsia" w:ascii="黑体" w:hAnsi="黑体" w:eastAsia="黑体"/>
          <w:b/>
          <w:sz w:val="30"/>
          <w:lang w:val="en-US"/>
        </w:rPr>
        <w:t>七、政府性基金预算财政拨款收支决算情况说明</w:t>
      </w:r>
    </w:p>
    <w:p w14:paraId="1B09C13B">
      <w:pPr>
        <w:spacing w:line="580" w:lineRule="exact"/>
        <w:ind w:firstLine="600"/>
        <w:jc w:val="both"/>
        <w:rPr>
          <w:rFonts w:hint="eastAsia" w:ascii="仿宋" w:hAnsi="仿宋" w:eastAsia="仿宋"/>
          <w:sz w:val="30"/>
          <w:lang w:val="en-US"/>
        </w:rPr>
      </w:pPr>
      <w:r>
        <w:rPr>
          <w:rFonts w:hint="eastAsia" w:ascii="仿宋" w:hAnsi="仿宋" w:eastAsia="仿宋"/>
          <w:kern w:val="2"/>
          <w:sz w:val="30"/>
          <w:lang w:val="en-US"/>
        </w:rPr>
        <w:t>天津市西青区梅江富力小学2023年度</w:t>
      </w:r>
      <w:r>
        <w:rPr>
          <w:rFonts w:hint="eastAsia" w:ascii="仿宋" w:hAnsi="仿宋" w:eastAsia="仿宋"/>
          <w:sz w:val="30"/>
          <w:lang w:val="en-US"/>
        </w:rPr>
        <w:t>无政府性基金预算财政拨款收入、支出和结转结余。</w:t>
      </w:r>
    </w:p>
    <w:p w14:paraId="3180E282">
      <w:pPr>
        <w:spacing w:line="600" w:lineRule="exact"/>
        <w:ind w:firstLine="600"/>
        <w:jc w:val="both"/>
        <w:rPr>
          <w:rFonts w:hint="eastAsia" w:ascii="黑体" w:hAnsi="黑体" w:eastAsia="黑体"/>
          <w:b/>
          <w:sz w:val="30"/>
          <w:lang w:val="en-US"/>
        </w:rPr>
      </w:pPr>
      <w:r>
        <w:rPr>
          <w:rFonts w:hint="eastAsia" w:ascii="黑体" w:hAnsi="黑体" w:eastAsia="黑体"/>
          <w:b/>
          <w:sz w:val="30"/>
          <w:lang w:val="en-US"/>
        </w:rPr>
        <w:t>八、国有资本经营预算财政拨款收支决算情况说明</w:t>
      </w:r>
    </w:p>
    <w:p w14:paraId="0B4C98F3">
      <w:pPr>
        <w:spacing w:line="600" w:lineRule="exact"/>
        <w:ind w:firstLine="600"/>
        <w:jc w:val="both"/>
        <w:rPr>
          <w:rFonts w:hint="eastAsia" w:ascii="仿宋" w:hAnsi="仿宋" w:eastAsia="仿宋"/>
          <w:color w:val="auto"/>
          <w:sz w:val="30"/>
          <w:lang w:val="en-US"/>
        </w:rPr>
      </w:pPr>
      <w:r>
        <w:rPr>
          <w:rFonts w:hint="eastAsia" w:ascii="仿宋" w:hAnsi="仿宋" w:eastAsia="仿宋"/>
          <w:color w:val="000000"/>
          <w:sz w:val="30"/>
          <w:lang w:val="en-US"/>
        </w:rPr>
        <w:t>天津市西青区梅江富力小学2023</w:t>
      </w:r>
      <w:r>
        <w:rPr>
          <w:rFonts w:hint="eastAsia" w:ascii="仿宋" w:hAnsi="仿宋" w:eastAsia="仿宋"/>
          <w:color w:val="auto"/>
          <w:sz w:val="30"/>
          <w:lang w:val="en-US"/>
        </w:rPr>
        <w:t>年度无国有资本经营预算财政拨款收入、支出和结转结余。</w:t>
      </w:r>
    </w:p>
    <w:p w14:paraId="71365272">
      <w:pPr>
        <w:pStyle w:val="3"/>
        <w:keepNext/>
        <w:keepLines/>
        <w:spacing w:line="600" w:lineRule="exact"/>
        <w:ind w:firstLine="602"/>
        <w:jc w:val="both"/>
        <w:rPr>
          <w:rFonts w:hint="eastAsia" w:ascii="黑体" w:hAnsi="黑体" w:eastAsia="黑体"/>
          <w:b/>
          <w:color w:val="auto"/>
          <w:sz w:val="30"/>
          <w:lang w:val="en-US"/>
        </w:rPr>
      </w:pPr>
      <w:r>
        <w:rPr>
          <w:rFonts w:hint="eastAsia" w:ascii="黑体" w:hAnsi="黑体" w:eastAsia="黑体"/>
          <w:b/>
          <w:color w:val="auto"/>
          <w:sz w:val="30"/>
          <w:lang w:val="en-US"/>
        </w:rPr>
        <w:t>九、财政拨款“三公”经费</w:t>
      </w:r>
      <w:r>
        <w:rPr>
          <w:rFonts w:hint="eastAsia" w:ascii="黑体" w:hAnsi="黑体" w:eastAsia="黑体"/>
          <w:b/>
          <w:color w:val="auto"/>
          <w:sz w:val="30"/>
          <w:lang w:val="zh-CN"/>
        </w:rPr>
        <w:t>支出决算</w:t>
      </w:r>
      <w:r>
        <w:rPr>
          <w:rFonts w:hint="eastAsia" w:ascii="黑体" w:hAnsi="黑体" w:eastAsia="黑体"/>
          <w:b/>
          <w:color w:val="auto"/>
          <w:sz w:val="30"/>
          <w:lang w:val="en-US"/>
        </w:rPr>
        <w:t>情况说明</w:t>
      </w:r>
    </w:p>
    <w:p w14:paraId="2D413C4C">
      <w:pPr>
        <w:pStyle w:val="3"/>
        <w:keepNext/>
        <w:keepLines/>
        <w:spacing w:line="600" w:lineRule="exact"/>
        <w:ind w:firstLine="602"/>
        <w:jc w:val="both"/>
        <w:rPr>
          <w:rFonts w:hint="eastAsia" w:ascii="黑体" w:hAnsi="黑体" w:eastAsia="黑体"/>
          <w:b/>
          <w:color w:val="auto"/>
          <w:sz w:val="30"/>
          <w:lang w:val="en-US"/>
        </w:rPr>
      </w:pPr>
      <w:r>
        <w:rPr>
          <w:rFonts w:hint="eastAsia" w:ascii="楷体" w:hAnsi="楷体" w:eastAsia="楷体"/>
          <w:b/>
          <w:color w:val="auto"/>
          <w:sz w:val="30"/>
          <w:lang w:val="en-US"/>
        </w:rPr>
        <w:t>（一）总体情况</w:t>
      </w:r>
    </w:p>
    <w:p w14:paraId="62B78D57">
      <w:pPr>
        <w:spacing w:line="560" w:lineRule="exact"/>
        <w:ind w:firstLine="600"/>
        <w:jc w:val="both"/>
        <w:rPr>
          <w:rFonts w:hint="default" w:ascii="Times New Roman" w:hAnsi="Times New Roman" w:eastAsia="仿宋"/>
          <w:color w:val="auto"/>
          <w:sz w:val="30"/>
          <w:lang w:val="en-US"/>
        </w:rPr>
      </w:pPr>
      <w:r>
        <w:rPr>
          <w:rFonts w:hint="default" w:ascii="Times New Roman" w:hAnsi="Times New Roman" w:eastAsia="仿宋"/>
          <w:color w:val="auto"/>
          <w:sz w:val="30"/>
          <w:lang w:val="en-US"/>
        </w:rPr>
        <w:t>2023</w:t>
      </w:r>
      <w:r>
        <w:rPr>
          <w:rFonts w:hint="eastAsia" w:ascii="Times New Roman" w:hAnsi="Times New Roman" w:eastAsia="仿宋"/>
          <w:color w:val="auto"/>
          <w:sz w:val="30"/>
          <w:lang w:val="en-US"/>
        </w:rPr>
        <w:t>年财政拨款“三公”经费预算0.00元，支出决算0.00元，与2023年</w:t>
      </w:r>
      <w:r>
        <w:rPr>
          <w:rFonts w:hint="eastAsia" w:ascii="Times New Roman" w:hAnsi="Times New Roman" w:eastAsia="仿宋"/>
          <w:color w:val="auto"/>
          <w:sz w:val="30"/>
          <w:lang w:val="zh-CN"/>
        </w:rPr>
        <w:t>预</w:t>
      </w:r>
      <w:r>
        <w:rPr>
          <w:rFonts w:hint="eastAsia" w:ascii="Times New Roman" w:hAnsi="Times New Roman" w:eastAsia="仿宋"/>
          <w:color w:val="auto"/>
          <w:sz w:val="30"/>
          <w:lang w:val="en-US"/>
        </w:rPr>
        <w:t>算相比持平；较上年持平</w:t>
      </w:r>
      <w:r>
        <w:rPr>
          <w:rFonts w:hint="eastAsia" w:ascii="Times New Roman" w:hAnsi="Times New Roman" w:eastAsia="仿宋"/>
          <w:color w:val="auto"/>
          <w:kern w:val="2"/>
          <w:sz w:val="30"/>
          <w:lang w:val="en-US"/>
        </w:rPr>
        <w:t>。</w:t>
      </w:r>
      <w:r>
        <w:rPr>
          <w:rFonts w:hint="eastAsia" w:ascii="Times New Roman" w:hAnsi="Times New Roman" w:eastAsia="仿宋"/>
          <w:color w:val="auto"/>
          <w:sz w:val="30"/>
          <w:lang w:val="en-US"/>
        </w:rPr>
        <w:t>决算数等于预算数</w:t>
      </w:r>
      <w:r>
        <w:rPr>
          <w:rFonts w:hint="eastAsia" w:ascii="Times New Roman" w:hAnsi="Times New Roman" w:eastAsia="仿宋"/>
          <w:color w:val="auto"/>
          <w:sz w:val="30"/>
          <w:lang w:val="en-US" w:eastAsia="zh-CN"/>
        </w:rPr>
        <w:t>，且与上年持平</w:t>
      </w:r>
      <w:r>
        <w:rPr>
          <w:rFonts w:hint="eastAsia" w:ascii="Times New Roman" w:hAnsi="Times New Roman" w:eastAsia="仿宋"/>
          <w:color w:val="auto"/>
          <w:sz w:val="30"/>
          <w:lang w:val="en-US"/>
        </w:rPr>
        <w:t>的主要原因是</w:t>
      </w:r>
      <w:r>
        <w:rPr>
          <w:rFonts w:hint="eastAsia" w:ascii="Times New Roman" w:hAnsi="Times New Roman" w:eastAsia="仿宋"/>
          <w:sz w:val="30"/>
        </w:rPr>
        <w:t>本年未用财政拨款列支“三公”经费</w:t>
      </w:r>
      <w:r>
        <w:rPr>
          <w:rFonts w:hint="eastAsia" w:ascii="Times New Roman" w:hAnsi="Times New Roman" w:eastAsia="仿宋"/>
          <w:color w:val="auto"/>
          <w:sz w:val="30"/>
          <w:lang w:val="en-US"/>
        </w:rPr>
        <w:t>。</w:t>
      </w:r>
    </w:p>
    <w:p w14:paraId="4F2CC85A">
      <w:pPr>
        <w:pStyle w:val="3"/>
        <w:keepNext/>
        <w:keepLines/>
        <w:spacing w:line="600" w:lineRule="exact"/>
        <w:ind w:firstLine="602"/>
        <w:jc w:val="both"/>
        <w:rPr>
          <w:rFonts w:hint="default" w:ascii="Times New Roman" w:hAnsi="Times New Roman" w:eastAsia="黑体"/>
          <w:color w:val="auto"/>
          <w:sz w:val="30"/>
          <w:lang w:val="en-US"/>
        </w:rPr>
      </w:pPr>
      <w:r>
        <w:rPr>
          <w:rFonts w:hint="eastAsia" w:ascii="Times New Roman" w:hAnsi="Times New Roman" w:eastAsia="楷体"/>
          <w:b/>
          <w:color w:val="auto"/>
          <w:sz w:val="30"/>
          <w:lang w:val="en-US"/>
        </w:rPr>
        <w:t>（二）具体情况</w:t>
      </w:r>
    </w:p>
    <w:p w14:paraId="6D0781E1">
      <w:pPr>
        <w:spacing w:line="560" w:lineRule="exact"/>
        <w:ind w:firstLine="600"/>
        <w:jc w:val="both"/>
        <w:rPr>
          <w:rFonts w:hint="default" w:ascii="Times New Roman" w:hAnsi="Times New Roman" w:eastAsia="仿宋"/>
          <w:color w:val="auto"/>
          <w:sz w:val="30"/>
          <w:lang w:val="en-US"/>
        </w:rPr>
      </w:pPr>
      <w:r>
        <w:rPr>
          <w:rFonts w:hint="default" w:ascii="Times New Roman" w:hAnsi="Times New Roman" w:eastAsia="仿宋"/>
          <w:color w:val="auto"/>
          <w:sz w:val="30"/>
          <w:lang w:val="en-US"/>
        </w:rPr>
        <w:t>1.</w:t>
      </w:r>
      <w:r>
        <w:rPr>
          <w:rFonts w:hint="eastAsia" w:ascii="Times New Roman" w:hAnsi="Times New Roman" w:eastAsia="仿宋"/>
          <w:color w:val="auto"/>
          <w:sz w:val="30"/>
          <w:lang w:val="en-US"/>
        </w:rPr>
        <w:t>因公出国（境）费预算0.00元，支出决算0.00元，与预算相比持平；较上年持平</w:t>
      </w:r>
      <w:r>
        <w:rPr>
          <w:rFonts w:hint="eastAsia" w:ascii="Times New Roman" w:hAnsi="Times New Roman" w:eastAsia="仿宋"/>
          <w:color w:val="auto"/>
          <w:kern w:val="2"/>
          <w:sz w:val="30"/>
          <w:lang w:val="en-US"/>
        </w:rPr>
        <w:t>。</w:t>
      </w:r>
      <w:r>
        <w:rPr>
          <w:rFonts w:hint="eastAsia" w:ascii="Times New Roman" w:hAnsi="Times New Roman" w:eastAsia="仿宋"/>
          <w:color w:val="auto"/>
          <w:sz w:val="30"/>
          <w:lang w:val="en-US"/>
        </w:rPr>
        <w:t>决算数等于预算数</w:t>
      </w:r>
      <w:r>
        <w:rPr>
          <w:rFonts w:hint="eastAsia" w:ascii="Times New Roman" w:hAnsi="Times New Roman" w:eastAsia="仿宋"/>
          <w:color w:val="auto"/>
          <w:sz w:val="30"/>
          <w:lang w:val="en-US" w:eastAsia="zh-CN"/>
        </w:rPr>
        <w:t>，且与上年持平</w:t>
      </w:r>
      <w:r>
        <w:rPr>
          <w:rFonts w:hint="eastAsia" w:ascii="Times New Roman" w:hAnsi="Times New Roman" w:eastAsia="仿宋"/>
          <w:color w:val="auto"/>
          <w:sz w:val="30"/>
          <w:lang w:val="en-US"/>
        </w:rPr>
        <w:t>的主要原因是</w:t>
      </w:r>
      <w:r>
        <w:rPr>
          <w:rFonts w:hint="eastAsia" w:ascii="Times New Roman" w:hAnsi="Times New Roman" w:eastAsia="仿宋"/>
          <w:sz w:val="30"/>
        </w:rPr>
        <w:t>本年未用财政拨款列支</w:t>
      </w:r>
      <w:r>
        <w:rPr>
          <w:rFonts w:hint="eastAsia" w:ascii="Times New Roman" w:hAnsi="Times New Roman" w:eastAsia="仿宋"/>
          <w:color w:val="auto"/>
          <w:sz w:val="30"/>
          <w:lang w:val="en-US"/>
        </w:rPr>
        <w:t>因公出国（境）费。</w:t>
      </w:r>
    </w:p>
    <w:p w14:paraId="60DC54A9">
      <w:pPr>
        <w:spacing w:line="560" w:lineRule="exact"/>
        <w:ind w:firstLine="600"/>
        <w:jc w:val="both"/>
        <w:rPr>
          <w:rFonts w:hint="default" w:ascii="Times New Roman" w:hAnsi="Times New Roman" w:eastAsia="仿宋"/>
          <w:color w:val="auto"/>
          <w:sz w:val="30"/>
          <w:lang w:val="en-US"/>
        </w:rPr>
      </w:pPr>
      <w:r>
        <w:rPr>
          <w:rFonts w:hint="default" w:ascii="Times New Roman" w:hAnsi="Times New Roman" w:eastAsia="仿宋"/>
          <w:color w:val="auto"/>
          <w:sz w:val="30"/>
          <w:lang w:val="en-US"/>
        </w:rPr>
        <w:t>2023</w:t>
      </w:r>
      <w:r>
        <w:rPr>
          <w:rFonts w:hint="eastAsia" w:ascii="Times New Roman" w:hAnsi="Times New Roman" w:eastAsia="仿宋"/>
          <w:color w:val="auto"/>
          <w:sz w:val="30"/>
          <w:lang w:val="en-US"/>
        </w:rPr>
        <w:t xml:space="preserve">年本单位组织的出国团组0个，出国0人次。 </w:t>
      </w:r>
    </w:p>
    <w:p w14:paraId="7E250C5F">
      <w:pPr>
        <w:spacing w:line="560" w:lineRule="exact"/>
        <w:ind w:firstLine="600"/>
        <w:jc w:val="both"/>
        <w:rPr>
          <w:rFonts w:hint="default" w:ascii="Times New Roman" w:hAnsi="Times New Roman" w:eastAsia="仿宋"/>
          <w:color w:val="auto"/>
          <w:sz w:val="30"/>
          <w:lang w:val="en-US"/>
        </w:rPr>
      </w:pPr>
      <w:r>
        <w:rPr>
          <w:rFonts w:hint="default" w:ascii="Times New Roman" w:hAnsi="Times New Roman" w:eastAsia="仿宋"/>
          <w:color w:val="auto"/>
          <w:sz w:val="30"/>
          <w:lang w:val="en-US"/>
        </w:rPr>
        <w:t>2.</w:t>
      </w:r>
      <w:r>
        <w:rPr>
          <w:rFonts w:hint="eastAsia" w:ascii="Times New Roman" w:hAnsi="Times New Roman" w:eastAsia="仿宋"/>
          <w:color w:val="auto"/>
          <w:sz w:val="30"/>
          <w:lang w:val="en-US"/>
        </w:rPr>
        <w:t>公务用车购置及运行维护费预算0.00元，支出决算0.00元，与预算相比持平；较上年持平</w:t>
      </w:r>
      <w:r>
        <w:rPr>
          <w:rFonts w:hint="eastAsia" w:ascii="Times New Roman" w:hAnsi="Times New Roman" w:eastAsia="仿宋"/>
          <w:color w:val="auto"/>
          <w:kern w:val="2"/>
          <w:sz w:val="30"/>
          <w:lang w:val="en-US"/>
        </w:rPr>
        <w:t>。</w:t>
      </w:r>
      <w:r>
        <w:rPr>
          <w:rFonts w:hint="eastAsia" w:ascii="Times New Roman" w:hAnsi="Times New Roman" w:eastAsia="仿宋"/>
          <w:color w:val="auto"/>
          <w:sz w:val="30"/>
          <w:lang w:val="en-US"/>
        </w:rPr>
        <w:t>决算数等于预算数</w:t>
      </w:r>
      <w:r>
        <w:rPr>
          <w:rFonts w:hint="eastAsia" w:ascii="Times New Roman" w:hAnsi="Times New Roman" w:eastAsia="仿宋"/>
          <w:color w:val="auto"/>
          <w:sz w:val="30"/>
          <w:lang w:val="en-US" w:eastAsia="zh-CN"/>
        </w:rPr>
        <w:t>，且与上年持平</w:t>
      </w:r>
      <w:r>
        <w:rPr>
          <w:rFonts w:hint="eastAsia" w:ascii="Times New Roman" w:hAnsi="Times New Roman" w:eastAsia="仿宋"/>
          <w:color w:val="auto"/>
          <w:sz w:val="30"/>
          <w:lang w:val="en-US"/>
        </w:rPr>
        <w:t>的主要原因是</w:t>
      </w:r>
      <w:r>
        <w:rPr>
          <w:rFonts w:hint="eastAsia" w:ascii="Times New Roman" w:hAnsi="Times New Roman" w:eastAsia="仿宋"/>
          <w:sz w:val="30"/>
        </w:rPr>
        <w:t>本年未用财政拨款列支</w:t>
      </w:r>
      <w:r>
        <w:rPr>
          <w:rFonts w:hint="eastAsia" w:ascii="Times New Roman" w:hAnsi="Times New Roman" w:eastAsia="仿宋"/>
          <w:color w:val="auto"/>
          <w:sz w:val="30"/>
          <w:lang w:val="en-US"/>
        </w:rPr>
        <w:t>公务用车购置及运行维护费。</w:t>
      </w:r>
      <w:r>
        <w:rPr>
          <w:rFonts w:hint="eastAsia" w:ascii="Times New Roman" w:hAnsi="Times New Roman" w:eastAsia="仿宋"/>
          <w:color w:val="auto"/>
          <w:kern w:val="2"/>
          <w:sz w:val="30"/>
          <w:lang w:val="en-US"/>
        </w:rPr>
        <w:t>其中：</w:t>
      </w:r>
    </w:p>
    <w:p w14:paraId="373F577D">
      <w:pPr>
        <w:spacing w:line="560" w:lineRule="exact"/>
        <w:ind w:firstLine="600"/>
        <w:jc w:val="both"/>
        <w:rPr>
          <w:rFonts w:hint="default" w:ascii="Times New Roman" w:hAnsi="Times New Roman" w:eastAsia="仿宋"/>
          <w:color w:val="auto"/>
          <w:sz w:val="30"/>
          <w:lang w:val="en-US"/>
        </w:rPr>
      </w:pPr>
      <w:r>
        <w:rPr>
          <w:rFonts w:hint="eastAsia" w:ascii="Times New Roman" w:hAnsi="Times New Roman" w:eastAsia="仿宋"/>
          <w:color w:val="auto"/>
          <w:sz w:val="30"/>
          <w:lang w:val="en-US"/>
        </w:rPr>
        <w:t>公务用车运行维护费预算0.00元，支出决算0.00元，与预算相比持平；较上年持</w:t>
      </w:r>
      <w:r>
        <w:rPr>
          <w:rFonts w:hint="eastAsia" w:ascii="Times New Roman" w:hAnsi="Times New Roman" w:eastAsia="仿宋"/>
          <w:color w:val="auto"/>
          <w:kern w:val="2"/>
          <w:sz w:val="30"/>
          <w:lang w:val="en-US"/>
        </w:rPr>
        <w:t>。</w:t>
      </w:r>
      <w:r>
        <w:rPr>
          <w:rFonts w:hint="eastAsia" w:ascii="Times New Roman" w:hAnsi="Times New Roman" w:eastAsia="仿宋"/>
          <w:color w:val="auto"/>
          <w:sz w:val="30"/>
          <w:lang w:val="en-US"/>
        </w:rPr>
        <w:t>决算数等于预算数</w:t>
      </w:r>
      <w:r>
        <w:rPr>
          <w:rFonts w:hint="eastAsia" w:ascii="Times New Roman" w:hAnsi="Times New Roman" w:eastAsia="仿宋"/>
          <w:color w:val="auto"/>
          <w:sz w:val="30"/>
          <w:lang w:val="en-US" w:eastAsia="zh-CN"/>
        </w:rPr>
        <w:t>，且与上年持平</w:t>
      </w:r>
      <w:r>
        <w:rPr>
          <w:rFonts w:hint="eastAsia" w:ascii="Times New Roman" w:hAnsi="Times New Roman" w:eastAsia="仿宋"/>
          <w:color w:val="auto"/>
          <w:sz w:val="30"/>
          <w:lang w:val="en-US"/>
        </w:rPr>
        <w:t>的主要原因是</w:t>
      </w:r>
      <w:r>
        <w:rPr>
          <w:rFonts w:hint="eastAsia" w:ascii="Times New Roman" w:hAnsi="Times New Roman" w:eastAsia="仿宋"/>
          <w:sz w:val="30"/>
        </w:rPr>
        <w:t>本年未用财政拨款列支</w:t>
      </w:r>
      <w:r>
        <w:rPr>
          <w:rFonts w:hint="eastAsia" w:ascii="Times New Roman" w:hAnsi="Times New Roman" w:eastAsia="仿宋"/>
          <w:color w:val="auto"/>
          <w:sz w:val="30"/>
          <w:lang w:val="en-US"/>
        </w:rPr>
        <w:t>公务用车运行维护费。截至2023年12月31日，使用财政拨款开支运行维护费的公务用车保有量为0辆。</w:t>
      </w:r>
    </w:p>
    <w:p w14:paraId="35897D32">
      <w:pPr>
        <w:spacing w:line="560" w:lineRule="exact"/>
        <w:ind w:firstLine="600"/>
        <w:jc w:val="both"/>
        <w:rPr>
          <w:rFonts w:hint="default" w:ascii="Times New Roman" w:hAnsi="Times New Roman" w:eastAsia="仿宋"/>
          <w:color w:val="auto"/>
          <w:sz w:val="30"/>
          <w:lang w:val="en-US"/>
        </w:rPr>
      </w:pPr>
      <w:r>
        <w:rPr>
          <w:rFonts w:hint="eastAsia" w:ascii="Times New Roman" w:hAnsi="Times New Roman" w:eastAsia="仿宋"/>
          <w:color w:val="auto"/>
          <w:sz w:val="30"/>
          <w:lang w:val="en-US"/>
        </w:rPr>
        <w:t>公务用车购置费预算0.00元，支出决算0.00元，与预算相比持平；较上年持平</w:t>
      </w:r>
      <w:r>
        <w:rPr>
          <w:rFonts w:hint="eastAsia" w:ascii="Times New Roman" w:hAnsi="Times New Roman" w:eastAsia="仿宋"/>
          <w:color w:val="auto"/>
          <w:kern w:val="2"/>
          <w:sz w:val="30"/>
          <w:lang w:val="en-US"/>
        </w:rPr>
        <w:t>。</w:t>
      </w:r>
      <w:r>
        <w:rPr>
          <w:rFonts w:hint="eastAsia" w:ascii="Times New Roman" w:hAnsi="Times New Roman" w:eastAsia="仿宋"/>
          <w:color w:val="auto"/>
          <w:sz w:val="30"/>
          <w:lang w:val="en-US"/>
        </w:rPr>
        <w:t>决算数等于预算数</w:t>
      </w:r>
      <w:r>
        <w:rPr>
          <w:rFonts w:hint="eastAsia" w:ascii="Times New Roman" w:hAnsi="Times New Roman" w:eastAsia="仿宋"/>
          <w:color w:val="auto"/>
          <w:sz w:val="30"/>
          <w:lang w:val="en-US" w:eastAsia="zh-CN"/>
        </w:rPr>
        <w:t>，且与上年持平</w:t>
      </w:r>
      <w:r>
        <w:rPr>
          <w:rFonts w:hint="eastAsia" w:ascii="Times New Roman" w:hAnsi="Times New Roman" w:eastAsia="仿宋"/>
          <w:color w:val="auto"/>
          <w:sz w:val="30"/>
          <w:lang w:val="en-US"/>
        </w:rPr>
        <w:t>的主要原因是</w:t>
      </w:r>
      <w:r>
        <w:rPr>
          <w:rFonts w:hint="eastAsia" w:ascii="Times New Roman" w:hAnsi="Times New Roman" w:eastAsia="仿宋"/>
          <w:sz w:val="30"/>
        </w:rPr>
        <w:t>本年未用财政拨款列支</w:t>
      </w:r>
      <w:r>
        <w:rPr>
          <w:rFonts w:hint="eastAsia" w:ascii="Times New Roman" w:hAnsi="Times New Roman" w:eastAsia="仿宋"/>
          <w:color w:val="auto"/>
          <w:sz w:val="30"/>
          <w:lang w:val="en-US"/>
        </w:rPr>
        <w:t>公务用车购置费。2023年购置公务用车0辆。</w:t>
      </w:r>
    </w:p>
    <w:p w14:paraId="778C4CAF">
      <w:pPr>
        <w:pStyle w:val="3"/>
        <w:keepNext/>
        <w:keepLines/>
        <w:spacing w:line="600" w:lineRule="exact"/>
        <w:ind w:firstLine="602"/>
        <w:jc w:val="both"/>
        <w:rPr>
          <w:rFonts w:hint="default" w:ascii="Times New Roman" w:hAnsi="Times New Roman" w:eastAsia="仿宋"/>
          <w:color w:val="auto"/>
          <w:sz w:val="30"/>
          <w:lang w:val="en-US"/>
        </w:rPr>
      </w:pPr>
      <w:r>
        <w:rPr>
          <w:rFonts w:hint="default" w:ascii="Times New Roman" w:hAnsi="Times New Roman" w:eastAsia="仿宋"/>
          <w:color w:val="auto"/>
          <w:sz w:val="30"/>
          <w:lang w:val="en-US"/>
        </w:rPr>
        <w:t>3.</w:t>
      </w:r>
      <w:r>
        <w:rPr>
          <w:rFonts w:hint="eastAsia" w:ascii="Times New Roman" w:hAnsi="Times New Roman" w:eastAsia="仿宋"/>
          <w:color w:val="auto"/>
          <w:sz w:val="30"/>
          <w:lang w:val="en-US"/>
        </w:rPr>
        <w:t>公务接待费预算0.00元，支出决算0.00元，与预算相比持平；较上年持平</w:t>
      </w:r>
      <w:r>
        <w:rPr>
          <w:rFonts w:hint="eastAsia" w:ascii="Times New Roman" w:hAnsi="Times New Roman" w:eastAsia="仿宋"/>
          <w:color w:val="auto"/>
          <w:kern w:val="2"/>
          <w:sz w:val="30"/>
          <w:lang w:val="en-US"/>
        </w:rPr>
        <w:t>。</w:t>
      </w:r>
      <w:r>
        <w:rPr>
          <w:rFonts w:hint="eastAsia" w:ascii="Times New Roman" w:hAnsi="Times New Roman" w:eastAsia="仿宋"/>
          <w:color w:val="auto"/>
          <w:sz w:val="30"/>
          <w:lang w:val="en-US"/>
        </w:rPr>
        <w:t>决算数等于预算数</w:t>
      </w:r>
      <w:r>
        <w:rPr>
          <w:rFonts w:hint="eastAsia" w:ascii="Times New Roman" w:hAnsi="Times New Roman" w:eastAsia="仿宋"/>
          <w:color w:val="auto"/>
          <w:sz w:val="30"/>
          <w:lang w:val="en-US" w:eastAsia="zh-CN"/>
        </w:rPr>
        <w:t>，且与上年持平</w:t>
      </w:r>
      <w:r>
        <w:rPr>
          <w:rFonts w:hint="eastAsia" w:ascii="Times New Roman" w:hAnsi="Times New Roman" w:eastAsia="仿宋"/>
          <w:color w:val="auto"/>
          <w:sz w:val="30"/>
          <w:lang w:val="en-US"/>
        </w:rPr>
        <w:t>的主要原因是</w:t>
      </w:r>
      <w:r>
        <w:rPr>
          <w:rFonts w:hint="eastAsia" w:ascii="Times New Roman" w:hAnsi="Times New Roman" w:eastAsia="仿宋"/>
          <w:sz w:val="30"/>
        </w:rPr>
        <w:t>本年未用财政拨款列支</w:t>
      </w:r>
      <w:r>
        <w:rPr>
          <w:rFonts w:hint="eastAsia" w:ascii="Times New Roman" w:hAnsi="Times New Roman" w:eastAsia="仿宋"/>
          <w:color w:val="auto"/>
          <w:sz w:val="30"/>
          <w:lang w:val="en-US"/>
        </w:rPr>
        <w:t>公务接待费。2023年本单位国内公务接待0批次，0人次；其中，外事接待0批次，0人次。</w:t>
      </w:r>
    </w:p>
    <w:p w14:paraId="1CC75E88">
      <w:pPr>
        <w:pStyle w:val="3"/>
        <w:keepNext/>
        <w:keepLines/>
        <w:spacing w:line="600" w:lineRule="exact"/>
        <w:ind w:firstLine="602"/>
        <w:jc w:val="both"/>
        <w:rPr>
          <w:rFonts w:hint="eastAsia" w:ascii="黑体" w:hAnsi="黑体" w:eastAsia="黑体"/>
          <w:b/>
          <w:color w:val="auto"/>
          <w:sz w:val="30"/>
          <w:lang w:val="en-US"/>
        </w:rPr>
      </w:pPr>
      <w:r>
        <w:rPr>
          <w:rFonts w:hint="eastAsia" w:ascii="黑体" w:hAnsi="黑体" w:eastAsia="黑体"/>
          <w:b/>
          <w:color w:val="auto"/>
          <w:sz w:val="30"/>
          <w:lang w:val="en-US"/>
        </w:rPr>
        <w:t>十、机关运行经费支出情况说明</w:t>
      </w:r>
    </w:p>
    <w:p w14:paraId="32FB0314">
      <w:pPr>
        <w:spacing w:line="580" w:lineRule="exact"/>
        <w:ind w:firstLine="600"/>
        <w:jc w:val="both"/>
        <w:rPr>
          <w:rFonts w:hint="eastAsia" w:ascii="仿宋" w:hAnsi="仿宋" w:eastAsia="仿宋"/>
          <w:color w:val="auto"/>
          <w:sz w:val="30"/>
          <w:lang w:val="en-US"/>
        </w:rPr>
      </w:pPr>
      <w:r>
        <w:rPr>
          <w:rFonts w:hint="eastAsia" w:ascii="仿宋" w:hAnsi="仿宋" w:eastAsia="仿宋"/>
          <w:color w:val="auto"/>
          <w:sz w:val="30"/>
          <w:lang w:val="en-US"/>
        </w:rPr>
        <w:t>天津市西青区梅江富力小学2023年度无机关运行经费。</w:t>
      </w:r>
    </w:p>
    <w:p w14:paraId="115BBE2B">
      <w:pPr>
        <w:pStyle w:val="3"/>
        <w:keepNext/>
        <w:keepLines/>
        <w:spacing w:line="600" w:lineRule="exact"/>
        <w:ind w:firstLine="602"/>
        <w:jc w:val="both"/>
        <w:rPr>
          <w:rFonts w:hint="eastAsia" w:ascii="黑体" w:hAnsi="黑体" w:eastAsia="黑体"/>
          <w:b/>
          <w:color w:val="auto"/>
          <w:sz w:val="30"/>
          <w:lang w:val="en-US"/>
        </w:rPr>
      </w:pPr>
      <w:r>
        <w:rPr>
          <w:rFonts w:hint="eastAsia" w:ascii="黑体" w:hAnsi="黑体" w:eastAsia="黑体"/>
          <w:b/>
          <w:color w:val="auto"/>
          <w:sz w:val="30"/>
          <w:lang w:val="en-US"/>
        </w:rPr>
        <w:t>十一、政府采购支出情况说明</w:t>
      </w:r>
    </w:p>
    <w:p w14:paraId="51F60E2C">
      <w:pPr>
        <w:spacing w:line="580" w:lineRule="exact"/>
        <w:ind w:firstLine="600"/>
        <w:jc w:val="both"/>
        <w:rPr>
          <w:rFonts w:hint="eastAsia" w:ascii="仿宋" w:hAnsi="仿宋" w:eastAsia="仿宋"/>
          <w:color w:val="auto"/>
          <w:sz w:val="30"/>
          <w:lang w:val="en-US"/>
        </w:rPr>
      </w:pPr>
      <w:r>
        <w:rPr>
          <w:rFonts w:hint="eastAsia" w:ascii="仿宋" w:hAnsi="仿宋" w:eastAsia="仿宋"/>
          <w:color w:val="000000"/>
          <w:sz w:val="30"/>
          <w:lang w:val="en-US"/>
        </w:rPr>
        <w:t>天津市西青区梅江富力小学2023年</w:t>
      </w:r>
      <w:r>
        <w:rPr>
          <w:rFonts w:hint="eastAsia" w:ascii="仿宋" w:hAnsi="仿宋" w:eastAsia="仿宋"/>
          <w:color w:val="auto"/>
          <w:sz w:val="30"/>
          <w:lang w:val="en-US"/>
        </w:rPr>
        <w:t>度无政府采购支出。</w:t>
      </w:r>
    </w:p>
    <w:p w14:paraId="6D36B53D">
      <w:pPr>
        <w:spacing w:line="600" w:lineRule="exact"/>
        <w:ind w:firstLine="600"/>
        <w:jc w:val="both"/>
        <w:rPr>
          <w:rFonts w:hint="eastAsia" w:ascii="黑体" w:hAnsi="黑体" w:eastAsia="黑体"/>
          <w:b/>
          <w:color w:val="auto"/>
          <w:sz w:val="30"/>
          <w:lang w:val="en-US"/>
        </w:rPr>
      </w:pPr>
      <w:r>
        <w:rPr>
          <w:rFonts w:hint="eastAsia" w:ascii="黑体" w:hAnsi="黑体" w:eastAsia="黑体"/>
          <w:b/>
          <w:color w:val="auto"/>
          <w:sz w:val="30"/>
          <w:lang w:val="zh-CN"/>
        </w:rPr>
        <w:t>十二、</w:t>
      </w:r>
      <w:r>
        <w:rPr>
          <w:rFonts w:hint="eastAsia" w:ascii="黑体" w:hAnsi="黑体" w:eastAsia="黑体"/>
          <w:b/>
          <w:color w:val="auto"/>
          <w:sz w:val="30"/>
          <w:lang w:val="en-US"/>
        </w:rPr>
        <w:t>国有资产占有使用情况说明</w:t>
      </w:r>
    </w:p>
    <w:p w14:paraId="479CBE6E">
      <w:pPr>
        <w:spacing w:line="600" w:lineRule="exact"/>
        <w:ind w:firstLine="600"/>
        <w:jc w:val="both"/>
        <w:rPr>
          <w:rFonts w:hint="eastAsia" w:ascii="仿宋" w:hAnsi="仿宋" w:eastAsia="仿宋"/>
          <w:color w:val="auto"/>
          <w:sz w:val="30"/>
          <w:lang w:val="en-US"/>
        </w:rPr>
      </w:pPr>
      <w:r>
        <w:rPr>
          <w:rFonts w:hint="eastAsia" w:ascii="仿宋" w:hAnsi="仿宋" w:eastAsia="仿宋"/>
          <w:color w:val="000000"/>
          <w:sz w:val="30"/>
          <w:lang w:val="en-US"/>
        </w:rPr>
        <w:t>天津市西青区梅江富力小学</w:t>
      </w:r>
      <w:r>
        <w:rPr>
          <w:rFonts w:hint="eastAsia" w:ascii="仿宋" w:hAnsi="仿宋" w:eastAsia="仿宋"/>
          <w:color w:val="auto"/>
          <w:sz w:val="30"/>
          <w:lang w:val="en-US"/>
        </w:rPr>
        <w:t>2023年度无国有资产占有使用情况。</w:t>
      </w:r>
    </w:p>
    <w:p w14:paraId="0B8100D1">
      <w:pPr>
        <w:spacing w:line="600" w:lineRule="exact"/>
        <w:ind w:firstLine="600"/>
        <w:jc w:val="both"/>
        <w:rPr>
          <w:rFonts w:hint="eastAsia" w:ascii="黑体" w:hAnsi="黑体" w:eastAsia="黑体"/>
          <w:b/>
          <w:color w:val="auto"/>
          <w:sz w:val="30"/>
          <w:lang w:val="en-US"/>
        </w:rPr>
      </w:pPr>
      <w:r>
        <w:rPr>
          <w:rFonts w:hint="eastAsia" w:ascii="黑体" w:hAnsi="黑体" w:eastAsia="黑体"/>
          <w:b/>
          <w:color w:val="auto"/>
          <w:sz w:val="30"/>
          <w:lang w:val="zh-CN"/>
        </w:rPr>
        <w:t>十三、</w:t>
      </w:r>
      <w:r>
        <w:rPr>
          <w:rFonts w:hint="eastAsia" w:ascii="黑体" w:hAnsi="黑体" w:eastAsia="黑体"/>
          <w:b/>
          <w:color w:val="auto"/>
          <w:sz w:val="30"/>
          <w:lang w:val="en-US"/>
        </w:rPr>
        <w:t>预算绩效情况说明</w:t>
      </w:r>
    </w:p>
    <w:p w14:paraId="686650A4">
      <w:pPr>
        <w:keepNext/>
        <w:keepLines/>
        <w:spacing w:line="600" w:lineRule="exact"/>
        <w:ind w:firstLine="600"/>
        <w:jc w:val="both"/>
        <w:rPr>
          <w:rFonts w:hint="eastAsia" w:ascii="仿宋" w:hAnsi="仿宋" w:eastAsia="仿宋"/>
          <w:color w:val="000000"/>
          <w:sz w:val="30"/>
          <w:lang w:val="en-US"/>
        </w:rPr>
      </w:pPr>
      <w:r>
        <w:rPr>
          <w:rFonts w:hint="eastAsia" w:ascii="仿宋" w:hAnsi="仿宋" w:eastAsia="仿宋"/>
          <w:color w:val="000000"/>
          <w:sz w:val="30"/>
          <w:lang w:val="en-US"/>
        </w:rPr>
        <w:t>天津市西青区梅江富力小学2023年度没有项目支出，无需开展绩效自评。</w:t>
      </w:r>
    </w:p>
    <w:p w14:paraId="3C3FB180">
      <w:pPr>
        <w:spacing w:line="600" w:lineRule="exact"/>
        <w:ind w:firstLine="600"/>
        <w:jc w:val="both"/>
        <w:rPr>
          <w:rFonts w:hint="eastAsia" w:ascii="黑体" w:hAnsi="黑体" w:eastAsia="黑体"/>
          <w:b/>
          <w:color w:val="auto"/>
          <w:sz w:val="30"/>
          <w:lang w:val="en-US"/>
        </w:rPr>
      </w:pPr>
      <w:r>
        <w:rPr>
          <w:rFonts w:hint="eastAsia" w:ascii="黑体" w:hAnsi="黑体" w:eastAsia="黑体"/>
          <w:b/>
          <w:color w:val="auto"/>
          <w:sz w:val="30"/>
          <w:lang w:val="zh-CN"/>
        </w:rPr>
        <w:t>十四、</w:t>
      </w:r>
      <w:r>
        <w:rPr>
          <w:rFonts w:hint="eastAsia" w:ascii="黑体" w:hAnsi="黑体" w:eastAsia="黑体"/>
          <w:b/>
          <w:color w:val="auto"/>
          <w:sz w:val="30"/>
          <w:lang w:val="en-US"/>
        </w:rPr>
        <w:t>教育、医疗卫生、社会保障和就业、住房保障、涉农补贴等民生支出情况说明</w:t>
      </w:r>
    </w:p>
    <w:p w14:paraId="7B7DECC7">
      <w:pPr>
        <w:spacing w:line="600" w:lineRule="exact"/>
        <w:ind w:firstLine="600"/>
        <w:jc w:val="both"/>
        <w:rPr>
          <w:rFonts w:hint="eastAsia" w:ascii="仿宋" w:hAnsi="仿宋" w:eastAsia="仿宋"/>
          <w:b/>
          <w:color w:val="000000"/>
          <w:sz w:val="30"/>
          <w:lang w:val="en-US"/>
        </w:rPr>
      </w:pPr>
      <w:r>
        <w:rPr>
          <w:rFonts w:hint="eastAsia" w:ascii="仿宋" w:hAnsi="仿宋" w:eastAsia="仿宋"/>
          <w:color w:val="auto"/>
          <w:sz w:val="30"/>
          <w:lang w:val="en-US"/>
        </w:rPr>
        <w:t>2023年度，天津市</w:t>
      </w:r>
      <w:r>
        <w:rPr>
          <w:rFonts w:hint="eastAsia" w:ascii="仿宋" w:hAnsi="仿宋" w:eastAsia="仿宋"/>
          <w:color w:val="auto"/>
          <w:sz w:val="30"/>
          <w:lang w:val="en-US" w:eastAsia="zh-CN"/>
        </w:rPr>
        <w:t>西青区梅江富力小学不涉及</w:t>
      </w:r>
      <w:r>
        <w:rPr>
          <w:rFonts w:hint="eastAsia" w:ascii="仿宋" w:hAnsi="仿宋" w:eastAsia="仿宋"/>
          <w:color w:val="auto"/>
          <w:sz w:val="30"/>
          <w:lang w:val="en-US"/>
        </w:rPr>
        <w:t>教育、医疗卫生、社会保障和就业、住房保障、涉农补贴等民生支出情况，包括项目名称、预算规模、补助标准、发放程序、资金分配结果等。</w:t>
      </w:r>
    </w:p>
    <w:p w14:paraId="638593DD">
      <w:pPr>
        <w:rPr>
          <w:rFonts w:hint="eastAsia" w:ascii="仿宋_GB2312" w:hAnsi="仿宋_GB2312" w:eastAsia="仿宋_GB2312"/>
          <w:b/>
          <w:color w:val="000000"/>
          <w:sz w:val="30"/>
          <w:lang w:val="en-US"/>
        </w:rPr>
      </w:pPr>
      <w:r>
        <w:rPr>
          <w:rFonts w:hint="eastAsia" w:ascii="仿宋_GB2312" w:hAnsi="仿宋_GB2312" w:eastAsia="仿宋_GB2312"/>
          <w:b/>
          <w:color w:val="000000"/>
          <w:sz w:val="30"/>
          <w:lang w:val="en-US"/>
        </w:rPr>
        <w:br w:type="page"/>
      </w:r>
    </w:p>
    <w:p w14:paraId="42DAA24F">
      <w:pPr>
        <w:pStyle w:val="2"/>
        <w:keepNext/>
        <w:keepLines/>
        <w:spacing w:line="600" w:lineRule="exact"/>
        <w:jc w:val="center"/>
        <w:rPr>
          <w:rFonts w:hint="eastAsia" w:ascii="方正小标宋简体" w:hAnsi="方正小标宋简体" w:eastAsia="方正小标宋简体"/>
          <w:b/>
          <w:color w:val="auto"/>
          <w:kern w:val="44"/>
          <w:sz w:val="44"/>
          <w:lang w:val="en-US"/>
        </w:rPr>
      </w:pPr>
      <w:r>
        <w:rPr>
          <w:rFonts w:hint="eastAsia" w:ascii="方正小标宋简体" w:hAnsi="方正小标宋简体" w:eastAsia="方正小标宋简体"/>
          <w:b/>
          <w:color w:val="auto"/>
          <w:kern w:val="44"/>
          <w:sz w:val="44"/>
          <w:lang w:val="en-US"/>
        </w:rPr>
        <w:t>第四部分  名词解释</w:t>
      </w:r>
    </w:p>
    <w:p w14:paraId="0C87B09C">
      <w:pPr>
        <w:spacing w:line="600" w:lineRule="exact"/>
        <w:ind w:firstLine="600"/>
        <w:rPr>
          <w:rFonts w:hint="eastAsia" w:ascii="仿宋_GB2312" w:hAnsi="仿宋_GB2312" w:eastAsia="仿宋_GB2312"/>
          <w:color w:val="auto"/>
          <w:sz w:val="30"/>
          <w:lang w:val="en-US"/>
        </w:rPr>
      </w:pPr>
    </w:p>
    <w:p w14:paraId="31AE49E0">
      <w:pPr>
        <w:spacing w:line="600" w:lineRule="exact"/>
        <w:ind w:firstLine="600"/>
        <w:rPr>
          <w:rFonts w:hint="eastAsia" w:ascii="仿宋" w:hAnsi="仿宋" w:eastAsia="仿宋"/>
          <w:color w:val="auto"/>
          <w:sz w:val="30"/>
          <w:lang w:val="en-US"/>
        </w:rPr>
      </w:pPr>
      <w:r>
        <w:rPr>
          <w:rFonts w:hint="eastAsia" w:ascii="仿宋" w:hAnsi="仿宋" w:eastAsia="仿宋"/>
          <w:color w:val="auto"/>
          <w:sz w:val="30"/>
          <w:lang w:val="en-US"/>
        </w:rPr>
        <w:t>1</w:t>
      </w:r>
      <w:r>
        <w:rPr>
          <w:rFonts w:hint="eastAsia" w:ascii="仿宋" w:hAnsi="仿宋" w:eastAsia="仿宋"/>
          <w:color w:val="auto"/>
          <w:lang w:val="en-US"/>
        </w:rPr>
        <w:t>.</w:t>
      </w:r>
      <w:r>
        <w:rPr>
          <w:rFonts w:hint="eastAsia" w:ascii="仿宋" w:hAnsi="仿宋" w:eastAsia="仿宋"/>
          <w:color w:val="auto"/>
          <w:sz w:val="30"/>
          <w:lang w:val="en-US"/>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635505B">
      <w:pPr>
        <w:spacing w:line="600" w:lineRule="exact"/>
        <w:ind w:firstLine="600"/>
        <w:rPr>
          <w:rFonts w:hint="eastAsia" w:ascii="仿宋" w:hAnsi="仿宋" w:eastAsia="仿宋"/>
          <w:color w:val="auto"/>
          <w:sz w:val="30"/>
          <w:lang w:val="en-US"/>
        </w:rPr>
      </w:pPr>
      <w:r>
        <w:rPr>
          <w:rFonts w:hint="eastAsia" w:ascii="仿宋" w:hAnsi="仿宋" w:eastAsia="仿宋"/>
          <w:color w:val="auto"/>
          <w:sz w:val="30"/>
          <w:lang w:val="en-US"/>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1201CF11">
      <w:r>
        <w:rPr>
          <w:rFonts w:hint="eastAsia" w:ascii="仿宋" w:hAnsi="仿宋" w:eastAsia="仿宋"/>
          <w:color w:val="auto"/>
          <w:sz w:val="30"/>
          <w:lang w:val="en-US"/>
        </w:rPr>
        <w:t xml:space="preserve">3.“三公”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zOTI5MzIzZmExZjA4NDVkNTc5NGQ4MTVjYTY5MjkifQ=="/>
  </w:docVars>
  <w:rsids>
    <w:rsidRoot w:val="00000000"/>
    <w:rsid w:val="03350D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hint="default" w:ascii="Times New Roman" w:hAnsi="Times New Roman" w:eastAsia="宋体" w:cs="Times New Roman"/>
      <w:sz w:val="24"/>
      <w:szCs w:val="22"/>
    </w:rPr>
  </w:style>
  <w:style w:type="paragraph" w:styleId="2">
    <w:name w:val="heading 1"/>
    <w:next w:val="1"/>
    <w:qFormat/>
    <w:uiPriority w:val="0"/>
    <w:pPr>
      <w:widowControl w:val="0"/>
      <w:autoSpaceDE w:val="0"/>
      <w:autoSpaceDN w:val="0"/>
    </w:pPr>
    <w:rPr>
      <w:rFonts w:hint="default" w:ascii="Times New Roman" w:hAnsi="Times New Roman" w:eastAsia="宋体" w:cs="Times New Roman"/>
      <w:sz w:val="24"/>
      <w:szCs w:val="22"/>
    </w:rPr>
  </w:style>
  <w:style w:type="paragraph" w:styleId="3">
    <w:name w:val="heading 2"/>
    <w:basedOn w:val="1"/>
    <w:next w:val="1"/>
    <w:unhideWhenUsed/>
    <w:qFormat/>
    <w:uiPriority w:val="0"/>
    <w:rPr>
      <w:rFonts w:hint="default"/>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3846</Words>
  <Characters>4460</Characters>
  <Lines>0</Lines>
  <Paragraphs>0</Paragraphs>
  <TotalTime>2</TotalTime>
  <ScaleCrop>false</ScaleCrop>
  <LinksUpToDate>false</LinksUpToDate>
  <CharactersWithSpaces>4486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2024-08-13T14:57:00Z</dcterms:created>
  <dc:creator>iPad</dc:creator>
  <cp:lastModifiedBy>葉絡隨風</cp:lastModifiedBy>
  <dcterms:modified xsi:type="dcterms:W3CDTF">2024-08-19T07:18:05Z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0DF057774336E63ADA03BB66830F6203_31</vt:lpwstr>
  </property>
</Properties>
</file>