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color w:val="auto"/>
          <w:sz w:val="52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52"/>
          <w:szCs w:val="44"/>
          <w:highlight w:val="none"/>
        </w:rPr>
        <w:t>西青区</w:t>
      </w:r>
      <w:r>
        <w:rPr>
          <w:rFonts w:hint="eastAsia" w:ascii="Times New Roman" w:hAnsi="Times New Roman" w:eastAsia="方正小标宋简体" w:cs="Times New Roman"/>
          <w:color w:val="auto"/>
          <w:sz w:val="52"/>
          <w:szCs w:val="44"/>
          <w:highlight w:val="none"/>
          <w:lang w:eastAsia="zh-CN"/>
        </w:rPr>
        <w:t>中北镇特种设备</w:t>
      </w:r>
      <w:r>
        <w:rPr>
          <w:rFonts w:ascii="Times New Roman" w:hAnsi="Times New Roman" w:eastAsia="方正小标宋简体" w:cs="Times New Roman"/>
          <w:color w:val="auto"/>
          <w:sz w:val="52"/>
          <w:szCs w:val="44"/>
          <w:highlight w:val="none"/>
        </w:rPr>
        <w:t>事故应急预案</w:t>
      </w: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>
      <w:pPr>
        <w:widowControl/>
        <w:jc w:val="center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eastAsia="zh-CN"/>
        </w:rPr>
        <w:t>中北镇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人民政府</w:t>
      </w:r>
    </w:p>
    <w:p>
      <w:pPr>
        <w:widowControl/>
        <w:jc w:val="center"/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楷体" w:cs="Times New Roman"/>
          <w:color w:val="auto"/>
          <w:sz w:val="32"/>
          <w:szCs w:val="32"/>
          <w:highlight w:val="none"/>
        </w:rPr>
        <w:t>月</w:t>
      </w:r>
    </w:p>
    <w:p>
      <w:pPr>
        <w:widowControl/>
        <w:jc w:val="left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br w:type="page"/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60"/>
          <w:szCs w:val="60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西青区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中北镇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危险化学品事故应急预案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1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总则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1.1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目的依据</w:t>
      </w:r>
    </w:p>
    <w:p>
      <w:pPr>
        <w:spacing w:line="560" w:lineRule="exact"/>
        <w:ind w:firstLine="640" w:firstLineChars="200"/>
        <w:rPr>
          <w:rFonts w:eastAsia="仿宋"/>
          <w:color w:val="auto"/>
          <w:kern w:val="0"/>
          <w:sz w:val="32"/>
          <w:szCs w:val="32"/>
          <w:highlight w:val="none"/>
        </w:rPr>
      </w:pPr>
      <w:r>
        <w:rPr>
          <w:rFonts w:eastAsia="仿宋"/>
          <w:color w:val="auto"/>
          <w:kern w:val="0"/>
          <w:sz w:val="32"/>
          <w:szCs w:val="32"/>
          <w:highlight w:val="none"/>
        </w:rPr>
        <w:t>为了有效预防、及时处置本</w:t>
      </w:r>
      <w:r>
        <w:rPr>
          <w:rFonts w:hint="eastAsia" w:eastAsia="仿宋"/>
          <w:color w:val="auto"/>
          <w:kern w:val="0"/>
          <w:sz w:val="32"/>
          <w:szCs w:val="32"/>
          <w:highlight w:val="none"/>
          <w:lang w:eastAsia="zh-CN"/>
        </w:rPr>
        <w:t>镇</w:t>
      </w:r>
      <w:r>
        <w:rPr>
          <w:rFonts w:eastAsia="仿宋"/>
          <w:color w:val="auto"/>
          <w:kern w:val="0"/>
          <w:sz w:val="32"/>
          <w:szCs w:val="32"/>
          <w:highlight w:val="none"/>
        </w:rPr>
        <w:t>各类特种设备事故，最大程度地减少人员伤亡和财产损失，提高防范、处置特种设备事故的水平和能力，促进经济持续稳定发展和维护社会和谐稳定，特制订本预案。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1.2 适用范围</w:t>
      </w:r>
    </w:p>
    <w:p>
      <w:pPr>
        <w:spacing w:line="360" w:lineRule="auto"/>
        <w:ind w:firstLine="640" w:firstLineChars="200"/>
        <w:rPr>
          <w:rFonts w:eastAsia="仿宋"/>
          <w:color w:val="auto"/>
          <w:sz w:val="32"/>
          <w:szCs w:val="32"/>
          <w:highlight w:val="none"/>
        </w:rPr>
      </w:pPr>
      <w:r>
        <w:rPr>
          <w:rFonts w:eastAsia="仿宋"/>
          <w:color w:val="auto"/>
          <w:sz w:val="32"/>
          <w:szCs w:val="32"/>
          <w:highlight w:val="none"/>
        </w:rPr>
        <w:t>本预案是我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eastAsia="仿宋"/>
          <w:color w:val="auto"/>
          <w:sz w:val="32"/>
          <w:szCs w:val="32"/>
          <w:highlight w:val="none"/>
        </w:rPr>
        <w:t>处置特种设备事故的专项应急预案，适用于本</w:t>
      </w:r>
      <w:r>
        <w:rPr>
          <w:rFonts w:hint="eastAsia" w:eastAsia="仿宋"/>
          <w:color w:val="auto"/>
          <w:sz w:val="32"/>
          <w:szCs w:val="32"/>
          <w:highlight w:val="none"/>
          <w:lang w:eastAsia="zh-CN"/>
        </w:rPr>
        <w:t>镇</w:t>
      </w:r>
      <w:r>
        <w:rPr>
          <w:rFonts w:eastAsia="仿宋"/>
          <w:color w:val="auto"/>
          <w:sz w:val="32"/>
          <w:szCs w:val="32"/>
          <w:highlight w:val="none"/>
        </w:rPr>
        <w:t>行政区域内发生的特种设备事故</w:t>
      </w:r>
      <w:r>
        <w:rPr>
          <w:rFonts w:eastAsia="仿宋"/>
          <w:color w:val="auto"/>
          <w:kern w:val="0"/>
          <w:sz w:val="32"/>
          <w:szCs w:val="32"/>
          <w:highlight w:val="none"/>
        </w:rPr>
        <w:t>或影响尚未达到事故等级的特种设备安全突发事件（以下统称事件）</w:t>
      </w:r>
      <w:r>
        <w:rPr>
          <w:rFonts w:eastAsia="仿宋"/>
          <w:color w:val="auto"/>
          <w:sz w:val="32"/>
          <w:szCs w:val="32"/>
          <w:highlight w:val="none"/>
        </w:rPr>
        <w:t>的应急处置工作。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1.3 工作原则</w:t>
      </w:r>
    </w:p>
    <w:p>
      <w:pPr>
        <w:pStyle w:val="3"/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highlight w:val="none"/>
        </w:rPr>
        <w:t>坚持“安全第一、预防为主、综合治理”的方针；贯彻统一领导、综合协调、预防与应急相结合的原则；应急救援体系力求职责明确、规范有序、结构完整、反应灵敏、运转高效、操作性强。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风险分析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按照特种设备事故的可控性、严重程度和影响范围，特种设备事故一般分为四级：Ⅰ级（特别重大）、Ⅱ级（重大）、Ⅲ级（较大）和Ⅳ级（一般）。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.1 有下列情形之一的，为Ⅰ级（特别重大）特种设备事故：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（1）特种设备事故造成30人以上死亡，或者100人以上重伤（包括急性工业中毒，下同），或者1亿元以上直接经济损失的；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（2）600兆瓦以上锅炉爆炸的；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（3）压力容器、压力管道有毒介质泄漏，造成15万人以上转移的；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（4）客运索道、大型游乐设施高空滞留100人以上并且时间在48小时以上的。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.2 有下列情形之一的，为Ⅱ级（重大）特种设备事故：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（1）特种设备事故造成10人以上30人以下死亡，或者50人以上100人以下重伤，或者5000万元以上1亿元以下直接经济损失的；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（2）600兆瓦以上锅炉因安全故障中断运行240小时以上的；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（3）压力容器、压力管道有毒介质泄漏，造成5万人以上15万人以下转移的；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（4）客运索道、大型游乐设施高空滞留100人以上并且时间在24小时以上48小时以下的。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3有下列情形之一的，为Ⅲ级（较大）特种设备事故：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（1）特种设备事故造成3人以上10人以下死亡，或者10人以上50人以下重伤，或者1000万元以上5000万元以下直接经济损失的；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（2）锅炉、压力容器、压力管道爆炸的；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（3）压力容器、压力管道有毒介质泄漏，造成1万人以上5万人以下转移的；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（4）起重机械整体倾覆的；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（5）客运索道、大型游乐设施高空滞留人员12小时以上的。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.4 有下列情形之一的，为Ⅳ级（一般）特种设备事故：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（1）特种设备事故造成3人以下死亡，或者10人以下重伤，或者1万元以上1000万元以下直接经济损失的；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（2）压力容器、压力管道有毒介质泄漏，造成500人以上1万人以下转移的；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（3）电梯轿厢滞留人员2小时以上的；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（4）起重机械主要受力结构件折断或者起升机构坠落的；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（5）客运索道高空滞留人员3.5小时以上12小时以下的；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（6）大型游乐设施高空滞留人员1小时以上12小时以下的。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法律、法规、规章另有规定的，按其规定执行。有关数量的表述中，“以上”含本数，“以下”不含本数。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2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组织体系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2.1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领导机构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成立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中北镇特种设备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事故应急指挥部（以下简称“指挥部”），指挥长由镇党委书记，镇党委副书记、镇长担任，副指挥长由分管副镇长担任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镇属各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科室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、中心以及村（社区）负责人为成员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。指挥部下设现场救援组、医疗救护组、疏散警戒组、资源保障组、综合协调组等5个工作组，分工开展应急处置工作。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指挥部职责：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（1）组织开展镇域内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特种设备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隐患排查整治工作；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（2）协调指挥镇域内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特种设备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事故应急处置工作；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（3）编制修订本镇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特种设备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事故应急预案；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（4）组织开展宣传培训及演练等活动。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2.2 工作机构</w:t>
      </w:r>
    </w:p>
    <w:p>
      <w:pPr>
        <w:widowControl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指挥部办公室设在镇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安全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办公室，办公室主任由分管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党委委员、武装部长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兼任，具体负责指挥部日常事务，协调开展各项工作。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3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监测预警</w:t>
      </w:r>
    </w:p>
    <w:p>
      <w:pPr>
        <w:spacing w:line="588" w:lineRule="exact"/>
        <w:ind w:firstLine="640" w:firstLineChars="200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bookmarkStart w:id="0" w:name="_Toc1862104894"/>
      <w:bookmarkStart w:id="1" w:name="_Toc310635461_WPSOffice_Level2"/>
      <w:bookmarkStart w:id="2" w:name="_Toc1971890660_WPSOffice_Level2"/>
      <w:bookmarkStart w:id="3" w:name="_Toc2033547381_WPSOffice_Level2"/>
      <w:bookmarkStart w:id="4" w:name="_Toc1697225415"/>
      <w:bookmarkStart w:id="5" w:name="_Toc58786340"/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 xml:space="preserve">3.1 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风险监测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对接区应急、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市场监管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等部门，加强对重点企业（单位）的全天候监测。落实网格化管理机制，充分发挥网格员作用，常态化开展巡查检查。落实“吹哨”机制，协调区相关部门针对可能引发事故灾害的风险点、危险源进行分析研判、综合评估。</w:t>
      </w:r>
    </w:p>
    <w:p>
      <w:pPr>
        <w:spacing w:line="588" w:lineRule="exact"/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>3.2 隐患排查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建立健全隐患排查治理制度，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协调配合行业主管部门依法开展执法检查，建立台账，督促有关单位采取安全防范措施。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实施“互联网+应急”模式，建立隐患排查治理台账，压实企业主体责任，突出重点行业、领域的监督检查，及时发现整治各类安全隐患。</w:t>
      </w:r>
    </w:p>
    <w:p>
      <w:pPr>
        <w:spacing w:line="588" w:lineRule="exact"/>
        <w:rPr>
          <w:rFonts w:ascii="Times New Roman" w:hAnsi="Times New Roman" w:cs="Times New Roman"/>
          <w:b/>
          <w:i/>
          <w:caps/>
          <w:color w:val="auto"/>
          <w:highlight w:val="none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cs="Times New Roman"/>
          <w:color w:val="auto"/>
          <w:sz w:val="32"/>
          <w:szCs w:val="32"/>
          <w:highlight w:val="none"/>
        </w:rPr>
        <w:t>3.3</w:t>
      </w:r>
      <w:r>
        <w:rPr>
          <w:rFonts w:ascii="Times New Roman" w:hAnsi="Times New Roman" w:eastAsia="楷体_GB2312" w:cs="Times New Roman"/>
          <w:color w:val="auto"/>
          <w:sz w:val="32"/>
          <w:szCs w:val="32"/>
          <w:highlight w:val="none"/>
        </w:rPr>
        <w:t xml:space="preserve"> 预警传递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协调相关行业主管部门，建立健全信息共享机制，及时掌握了解本镇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特种设备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相关异常信号、数据、信息，利用宣传车、大喇叭、电子显示屏、公众号、短信息等载体传递预警信息。针对老、弱、病、残、幼等脆弱人群，组织村（社区）干部、小巷管家、志愿者等人员逐户通知，做好防范应对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4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应急处置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4.1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信息报告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bookmarkStart w:id="6" w:name="_Hlk82636284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事故发生后，事发村（社区）、企业及网格员第一时间向镇值班室报告，接报后，值班员迅速梳理相关信息，向指挥部及带班领导报告有关情况，按照15分钟电话报告、30分钟内书面报告的要求向区机关值班室报告，并通报应急、卫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、市场监管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等部门及可能受影响的地区。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4.2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分组救援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现场救援组：由镇安全办牵头，</w:t>
      </w:r>
      <w:r>
        <w:rPr>
          <w:rFonts w:eastAsia="仿宋"/>
          <w:color w:val="auto"/>
          <w:sz w:val="32"/>
          <w:szCs w:val="32"/>
          <w:highlight w:val="none"/>
        </w:rPr>
        <w:t>突发事件发生后，使用管理单位在报告事故的同时,首先按照本单位制定的应急预案开展自救。尽快组织抢救伤员，判定事故原因和可能造成的危害，采取措施，防止事故扩大。严格保护事故现场,妥善保存现场相关物件及重要痕迹等各种物证。特种设备事故情况，依照响应级别紧急启动特种设备突发事件应急预案，先行赶赴现场的相关部门和人员应根据事故现场情况,迅速成立现场应急机构，组织伤员抢救、灭火消毒、人员疏散、隐患处置工作。</w:t>
      </w:r>
    </w:p>
    <w:p>
      <w:pPr>
        <w:numPr>
          <w:ilvl w:val="0"/>
          <w:numId w:val="0"/>
        </w:numPr>
        <w:spacing w:line="360" w:lineRule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eastAsia="仿宋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（2）医疗救护组：由镇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计生办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牵头，根据需要在现场附近的安全区域内设立临时医疗救护点，对受伤人员进行现场抢救、心理援助等工作；协调医疗机构，开辟“绿色通道”；协助开展环境监测、净化等工作。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（3）疏散警戒组：由镇综合执法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牵头，负责协调属地派出所，设置现场警戒带，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维护现场秩序，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协调保障救援设备和应急物资运输；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组织村（社区）、企业开展疏散转移，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组织对脆弱人群的优先转移安置。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（4）资源保障组：由镇武装部牵头，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负责协调保障事故处置所需的车辆、器材、灭火剂、燃料、工具等物资以及食品、饮用水等生活必需品的供应。</w:t>
      </w:r>
    </w:p>
    <w:p>
      <w:pPr>
        <w:spacing w:line="588" w:lineRule="exact"/>
        <w:ind w:firstLine="640" w:firstLineChars="20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（5）综合协调组：由镇党政办公室牵头，负责综合协调各工作组的应急救援行动，信息上报、指令下达，舆论引导等工作。</w:t>
      </w:r>
    </w:p>
    <w:bookmarkEnd w:id="6"/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bookmarkStart w:id="7" w:name="_Hlk82636303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5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善后处置</w:t>
      </w:r>
    </w:p>
    <w:bookmarkEnd w:id="7"/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救援行动结束后，镇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村居办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负责指导村（社区）、企业及时清理现场、处置污染物，做好遇难人员、伤员的善后处理及家属抚恤工作；镇建设管理办公室配合开展事发区域的恢复重建，尽快恢复生产生活秩序；镇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安全办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配合开展事故调查和保险理赔工作。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6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应急处置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bookmarkStart w:id="8" w:name="_Hlk82636322"/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6.1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队伍保障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组建镇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特种设备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事故应急救援队伍，负责事故应对工作。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详见附件2。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6.2 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物资保障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eastAsia="宋体"/>
          <w:color w:val="auto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详见附件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。</w:t>
      </w:r>
    </w:p>
    <w:bookmarkEnd w:id="8"/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资金保障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处置事故所需财政担负的经费，由镇财政办公室按规定予以保障。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设施保障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充分利用公园、绿地、居住小区内广场、花园等场所作为应急避难场所，具体清单见附件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7 </w:t>
      </w: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预案管理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7.1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培训演练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由镇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安全办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牵头，定期组织机关、村（社区）干部、志愿者、镇内企业等开展相关宣传、培训、演练活动。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7.2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制定解释及修订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本预案由镇安全办制定、修订和解释。</w:t>
      </w:r>
    </w:p>
    <w:p>
      <w:pPr>
        <w:widowControl/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7.3</w:t>
      </w:r>
      <w:r>
        <w:rPr>
          <w:rFonts w:ascii="Times New Roman" w:hAnsi="Times New Roman" w:eastAsia="楷体_GB2312" w:cs="Times New Roman"/>
          <w:color w:val="auto"/>
          <w:kern w:val="0"/>
          <w:sz w:val="32"/>
          <w:szCs w:val="32"/>
          <w:highlight w:val="none"/>
        </w:rPr>
        <w:t>预案实施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本预案自发布之日起实施，有效期5年。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color w:val="auto"/>
          <w:kern w:val="0"/>
          <w:sz w:val="32"/>
          <w:szCs w:val="32"/>
          <w:highlight w:val="none"/>
        </w:rPr>
        <w:t>附件：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1.镇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特种设备事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故应急指挥部通讯录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特种设备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事故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应急救援队伍情况表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3镇应急物资储备情况表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.镇紧急避难场所情况表</w:t>
      </w:r>
    </w:p>
    <w:p>
      <w:pPr>
        <w:widowControl/>
        <w:adjustRightInd w:val="0"/>
        <w:snapToGrid w:val="0"/>
        <w:spacing w:line="360" w:lineRule="auto"/>
        <w:ind w:firstLine="1600" w:firstLineChars="50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.危化品事故信息报告（模板）</w:t>
      </w:r>
    </w:p>
    <w:p>
      <w:pPr>
        <w:widowControl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特种设备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事故应急指挥部通讯录</w:t>
      </w:r>
    </w:p>
    <w:tbl>
      <w:tblPr>
        <w:tblStyle w:val="7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94"/>
        <w:gridCol w:w="1087"/>
        <w:gridCol w:w="2313"/>
        <w:gridCol w:w="12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组  别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部  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指挥部</w:t>
            </w:r>
          </w:p>
        </w:tc>
        <w:tc>
          <w:tcPr>
            <w:tcW w:w="19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指挥长（A岗）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刘玉峰</w:t>
            </w:r>
          </w:p>
        </w:tc>
        <w:tc>
          <w:tcPr>
            <w:tcW w:w="23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党委书记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27938961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18920638878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指挥长（B岗）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静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党委副书记、镇长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27932089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15822197588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副指挥长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任震怀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党委委员、副镇长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27399487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13512897988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张永强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党委委员、武装部长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13752474373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指挥部成员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现场救援组长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李月秋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安全办公室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医疗救护组长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王自君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计生办公室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27393773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13820030128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疏散警戒组长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佳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综合执法大队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27920215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15922110925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资源保障组长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康怀勇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武装部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13512066660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综合协调组长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嘉</w:t>
            </w:r>
          </w:p>
        </w:tc>
        <w:tc>
          <w:tcPr>
            <w:tcW w:w="231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党政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办公室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27392844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13920176480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胡艳刚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李家园村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87862786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18902135888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龙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东姜井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27515988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13920086901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金玉桃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西姜井村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27517615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13920654276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高金奎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大卞庄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27661586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13752795598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杨婷婷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中北斜村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27940010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13102062313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曹玉清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北四新村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27917216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13820680396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马学震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曹庄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58179889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18920386116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姚宝广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祁庄村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59000168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13821046795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蕾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87917617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19822039698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林秀宽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邢庄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27667051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13821584866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洁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东北斜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27391709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15022197637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张雅轩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大梁庄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27984428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18822701707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何  军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西北斜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27909523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13752384818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张震雨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大稍直口村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27667383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15822935321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胡峰瑞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雷庄子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58952778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18522786699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徐佳洪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小蒋庄村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59000100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13802005260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曹俊兴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汪庄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子村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58390503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13011345667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刘顺建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李楼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59000166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15822935088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亮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大蒋庄村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58605569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13820609841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曹树根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谢庄村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27392825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13323323961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村党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组织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陈芝芝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西马庄村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18633132275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村党组织书记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白俊飞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东马村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27390216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13752338772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李国顺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侯台社区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23894678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15922002074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张  磊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碧水家园社区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23869305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13702064453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郭宏妍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东姜井社区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27521985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13821683218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bookmarkStart w:id="9" w:name="_GoBack"/>
            <w:bookmarkEnd w:id="9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洋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西姜井社区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27535966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18622129507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993"/>
        <w:gridCol w:w="2154"/>
        <w:gridCol w:w="125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赵金柱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旭水蓝轩社区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27544001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13102052779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王浩博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福悦里社区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58968604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13820875221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刘文成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福雅花园社区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27541977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15122338050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27669239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18222665615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李宏伟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富力湾社区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87180268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18622040092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彬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水语花城社区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58890799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13752120965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袁  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假日风景社区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23749962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13622152091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颖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83722931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15822448292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王庆晨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华亭佳园社区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83786873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15002244908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陈  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大地十二城枫桦园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87828698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13821585629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马学磊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华亭丽园社区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27909295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13110043353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胡晓希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中信珺台社区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83974522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13622101218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于翠翠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假日润园社区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27911871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13652048253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杨  震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云锦世家社区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27909296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15222772020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森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顺通家园社区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58603288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13516280805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赵恒轩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溪秀苑第二社区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87099951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13920614507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董莉莉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澜湾花园社区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27919920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13752119491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  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红杉花苑社区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87360700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18722215285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宋  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旭辉御府社区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27937280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13110075080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张运娜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锦曦花苑社区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27937287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18920055226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祝云强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万汇文化广场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27939773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18822099352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瞿  澄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景园里社区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27541623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13612052072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于子林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燕宇花园社区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83688196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18622096280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王  岭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大安翠庭社区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23753922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13920605041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刘顺贵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甜水社区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23780793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13516212670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牛淑梅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郦景园社区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27397791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15900239899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社区党组织书记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窦爱军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新津国际社区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83715211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13820835950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镇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特种设备</w:t>
      </w: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事故应急救援队伍情况表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119"/>
        <w:gridCol w:w="240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特   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李月秋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队长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18630876971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李学伟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副队长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13920882815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孟宪禄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15620305616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陈玉凯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19102239636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赵元晟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15624008795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  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后勤保障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18302290835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祁连洪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政府外聘人员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13752181171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王志祥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政府外聘人员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13803088167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  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政府外聘人员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13821668619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楠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15620076655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杨金帅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15122862275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王耀谱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15922132472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李佳奇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18222728719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李龙龙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抢险救援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中北镇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政府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18526549453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13752501501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宏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13034399868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13012201105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刘亚龙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13752483543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陈成达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5922105264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刘博鑫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15302071224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张俊来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13920669535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刘恩军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转移安置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工业园区管委会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13110001689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br w:type="page"/>
      </w: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附件3</w:t>
      </w:r>
    </w:p>
    <w:p>
      <w:pPr>
        <w:widowControl/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镇应急物资储备情况表</w:t>
      </w:r>
    </w:p>
    <w:tbl>
      <w:tblPr>
        <w:tblStyle w:val="7"/>
        <w:tblpPr w:leftFromText="180" w:rightFromText="180" w:vertAnchor="text" w:horzAnchor="page" w:tblpX="1767" w:tblpY="23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269"/>
        <w:gridCol w:w="2693"/>
        <w:gridCol w:w="991"/>
        <w:gridCol w:w="85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存储单位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品名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负责人和联系电话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雨衣（黑）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镇武装部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雨衣（绿）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雨靴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洋镐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防汛专用沙袋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防火服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灭火器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摩托锯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汽油桶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油壶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液压剪扩器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葫芦吊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千斤顶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警棍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根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隔离椎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警戒带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盒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行军锅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一次性防护口罩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N95口罩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48000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一次性医用外科口罩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绿盾口罩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手套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防护面罩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防护服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洗手液（225毫升）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洗手液（300毫升）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500毫升酒精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消毒凝胶（60毫升）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喷壶（500毫升）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体温枪（发改委大）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温度计水银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1200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遮阳伞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445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帐篷小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公文包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手提式干粉灭火器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6kg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安全办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27947083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灭火器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4kg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具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灭火毯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张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安全鞋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安全帽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顶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消防靴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双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铁锹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配件箱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应急灯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担架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副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应急手电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垃圾桶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医疗包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药箱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辐射温度计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测温计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扩音器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护目镜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声级计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钢卷尺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消防试压水枪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高精度数字激光测距仪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气体检测仪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高精度绝缘电阻测试仪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照度计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66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铁锹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武装部60108799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头盔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盾牌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橡胶棒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镇政府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铁锨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曹庄泵站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87913331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铁镐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大锤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把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雨衣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74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雨鞋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75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发电机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76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应急泵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77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编织袋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1万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条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78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救生衣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79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救生圈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80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铅丝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81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手电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82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水泵电闸箱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83</w:t>
            </w: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693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防水电缆线</w:t>
            </w: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</w:p>
        </w:tc>
        <w:tc>
          <w:tcPr>
            <w:tcW w:w="852" w:type="dxa"/>
            <w:noWrap w:val="0"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米</w:t>
            </w: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adjustRightInd w:val="0"/>
        <w:snapToGrid w:val="0"/>
        <w:spacing w:line="588" w:lineRule="exac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4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 xml:space="preserve">    镇紧急避难场所情况表</w:t>
      </w:r>
    </w:p>
    <w:tbl>
      <w:tblPr>
        <w:tblStyle w:val="13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901"/>
        <w:gridCol w:w="3460"/>
        <w:gridCol w:w="118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29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名称</w:t>
            </w:r>
          </w:p>
        </w:tc>
        <w:tc>
          <w:tcPr>
            <w:tcW w:w="34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地址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容纳人数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（人）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有效面积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中北镇风雨园林广场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溪茗园东北侧约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100米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35000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中北镇叶子公园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外环西路与芥园西道交口东北角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7000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奥森物流A区停车场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西青道与春光路交叉口西南面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曹庄花卉停车场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飞霞路与阜锦道交口东南侧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梁晨馨苑活动广场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梁晨馨苑小区内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鹏业广场停车场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鹏业广场内（星光路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西青区审批局旁停车场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九川道中北科技产业园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天津物流停车场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西青道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265号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汪庄工业园停车场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紫阳道汪庄工业园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维也纳酒店停车场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星光路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1号维也纳酒店旁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溪华苑菜市场停车场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海光路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11号溪华苑菜市场旁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溪悦园大蒋祁庄活动广场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23号楼旁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溪悦园小蒋村活动广场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溪悦园小区内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24号楼旁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溪竹苑活动广场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春光路西侧溪竹苑小区内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新景商业广场停车场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芥园西道与外环交口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兴苑别墅活动广场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兴苑别墅入口处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永旺商场西侧停车场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阜盛道南侧永旺购物中心西侧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御宏家园活动广场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春光路西侧御宏家园小区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中北镇运河海棠公园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运河南侧、溪竹苑东侧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西青区中色企业停车场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紫光路86号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希乐城停车场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阜锦道南侧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永旺商场东侧停车场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阜盛道南侧永旺购物中心东侧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1500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中北运河文化广场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永旺商场停车场南侧（环球商业停车场）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eastAsia="zh-CN"/>
              </w:rPr>
              <w:t>阜盛道南侧永旺购物中心南侧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为明双语实验小学操场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为明双语实验小学内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南开敬业中北中学操场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南开敬业中北中学内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中北第二小学操场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中北第二小学内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中北镇星光路小学操场</w:t>
            </w:r>
          </w:p>
        </w:tc>
        <w:tc>
          <w:tcPr>
            <w:tcW w:w="3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中北镇星光路小学内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2000</w:t>
            </w:r>
          </w:p>
        </w:tc>
        <w:tc>
          <w:tcPr>
            <w:tcW w:w="1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8"/>
                <w:highlight w:val="none"/>
                <w:lang w:val="en-US" w:eastAsia="zh-CN"/>
              </w:rPr>
              <w:t>3000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关于XXX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特种设备</w:t>
      </w:r>
      <w:r>
        <w:rPr>
          <w:rFonts w:ascii="Times New Roman" w:hAnsi="Times New Roman" w:eastAsia="方正小标宋简体" w:cs="Times New Roman"/>
          <w:sz w:val="44"/>
          <w:szCs w:val="44"/>
        </w:rPr>
        <w:t>事故情况的报告</w:t>
      </w:r>
    </w:p>
    <w:p>
      <w:pPr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区机关值班室：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年 月 日 时，位于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中北镇</w:t>
      </w:r>
      <w:r>
        <w:rPr>
          <w:rFonts w:ascii="Times New Roman" w:hAnsi="Times New Roman" w:eastAsia="仿宋_GB2312" w:cs="Times New Roman"/>
          <w:sz w:val="32"/>
          <w:szCs w:val="44"/>
        </w:rPr>
        <w:t>（地点、企业名称）发生XXX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特种设备</w:t>
      </w:r>
      <w:r>
        <w:rPr>
          <w:rFonts w:ascii="Times New Roman" w:hAnsi="Times New Roman" w:eastAsia="仿宋_GB2312" w:cs="Times New Roman"/>
          <w:sz w:val="32"/>
          <w:szCs w:val="44"/>
        </w:rPr>
        <w:t>事故。事故发生后，我镇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特种设备</w:t>
      </w:r>
      <w:r>
        <w:rPr>
          <w:rFonts w:ascii="Times New Roman" w:hAnsi="Times New Roman" w:eastAsia="仿宋_GB2312" w:cs="Times New Roman"/>
          <w:sz w:val="32"/>
          <w:szCs w:val="44"/>
        </w:rPr>
        <w:t>事故应急指挥部立即启动应急响应，组织相关部门和应急力量第一时间赶赴现场救援。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初步查明事故系由XXX物质引发，已经造成X人死亡、X人重伤，X人送院治疗。目前已经采取有效措施控制，并对周边人员实施疏散、转移等措施。事故原因正在调查中，具体情况进一步续报。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报告人：***；联系电话：******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审核人：***；联系电话：******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44"/>
        </w:rPr>
        <w:t>年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月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42680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5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209735832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86"/>
    <w:rsid w:val="00007742"/>
    <w:rsid w:val="000368E7"/>
    <w:rsid w:val="00053A0B"/>
    <w:rsid w:val="000A7B37"/>
    <w:rsid w:val="000A7E3E"/>
    <w:rsid w:val="000E2C96"/>
    <w:rsid w:val="000F3096"/>
    <w:rsid w:val="000F6FEA"/>
    <w:rsid w:val="00121E93"/>
    <w:rsid w:val="00122CE0"/>
    <w:rsid w:val="00132C45"/>
    <w:rsid w:val="00142E6A"/>
    <w:rsid w:val="001578BD"/>
    <w:rsid w:val="00157E71"/>
    <w:rsid w:val="00186499"/>
    <w:rsid w:val="001A34BD"/>
    <w:rsid w:val="001A452C"/>
    <w:rsid w:val="001D21F2"/>
    <w:rsid w:val="00257AB3"/>
    <w:rsid w:val="002675A1"/>
    <w:rsid w:val="002A3454"/>
    <w:rsid w:val="002F7E22"/>
    <w:rsid w:val="00325239"/>
    <w:rsid w:val="00334EB0"/>
    <w:rsid w:val="00341E73"/>
    <w:rsid w:val="00345000"/>
    <w:rsid w:val="003A329A"/>
    <w:rsid w:val="003F6DC5"/>
    <w:rsid w:val="00401CBE"/>
    <w:rsid w:val="00422F37"/>
    <w:rsid w:val="00436EB2"/>
    <w:rsid w:val="004928F5"/>
    <w:rsid w:val="0049591B"/>
    <w:rsid w:val="004C6A23"/>
    <w:rsid w:val="004F3127"/>
    <w:rsid w:val="0051563A"/>
    <w:rsid w:val="0053170F"/>
    <w:rsid w:val="005408FD"/>
    <w:rsid w:val="005524E2"/>
    <w:rsid w:val="0059329B"/>
    <w:rsid w:val="005A1BD8"/>
    <w:rsid w:val="005C7974"/>
    <w:rsid w:val="00621A1E"/>
    <w:rsid w:val="00632E8B"/>
    <w:rsid w:val="00684B3A"/>
    <w:rsid w:val="00685536"/>
    <w:rsid w:val="006D72DB"/>
    <w:rsid w:val="006E6801"/>
    <w:rsid w:val="0070115D"/>
    <w:rsid w:val="00706403"/>
    <w:rsid w:val="007071EE"/>
    <w:rsid w:val="007144F6"/>
    <w:rsid w:val="00720DF4"/>
    <w:rsid w:val="00736DA0"/>
    <w:rsid w:val="00741C24"/>
    <w:rsid w:val="00764757"/>
    <w:rsid w:val="007676B1"/>
    <w:rsid w:val="00786EC3"/>
    <w:rsid w:val="00795D25"/>
    <w:rsid w:val="007D1DBC"/>
    <w:rsid w:val="007D401E"/>
    <w:rsid w:val="00864A96"/>
    <w:rsid w:val="0087237B"/>
    <w:rsid w:val="008B606B"/>
    <w:rsid w:val="008C7F88"/>
    <w:rsid w:val="008F75FE"/>
    <w:rsid w:val="00935D59"/>
    <w:rsid w:val="00947845"/>
    <w:rsid w:val="00955298"/>
    <w:rsid w:val="00982EA7"/>
    <w:rsid w:val="00995BB5"/>
    <w:rsid w:val="009C2543"/>
    <w:rsid w:val="009C4205"/>
    <w:rsid w:val="00A44EF8"/>
    <w:rsid w:val="00A70EF5"/>
    <w:rsid w:val="00A96A54"/>
    <w:rsid w:val="00AA2987"/>
    <w:rsid w:val="00AC56A7"/>
    <w:rsid w:val="00B146EB"/>
    <w:rsid w:val="00B26A27"/>
    <w:rsid w:val="00B43949"/>
    <w:rsid w:val="00B964F8"/>
    <w:rsid w:val="00BA4850"/>
    <w:rsid w:val="00BB06F2"/>
    <w:rsid w:val="00BD688D"/>
    <w:rsid w:val="00BD7278"/>
    <w:rsid w:val="00BE4C9B"/>
    <w:rsid w:val="00C004FA"/>
    <w:rsid w:val="00C21223"/>
    <w:rsid w:val="00C463BD"/>
    <w:rsid w:val="00C47BBD"/>
    <w:rsid w:val="00CA604D"/>
    <w:rsid w:val="00CB4B1E"/>
    <w:rsid w:val="00CD28FD"/>
    <w:rsid w:val="00CD5ACF"/>
    <w:rsid w:val="00CE51A7"/>
    <w:rsid w:val="00D0175D"/>
    <w:rsid w:val="00D124F0"/>
    <w:rsid w:val="00D24FA7"/>
    <w:rsid w:val="00D41601"/>
    <w:rsid w:val="00D64386"/>
    <w:rsid w:val="00D643E2"/>
    <w:rsid w:val="00D67B8D"/>
    <w:rsid w:val="00D92AFA"/>
    <w:rsid w:val="00DB01FB"/>
    <w:rsid w:val="00DE0822"/>
    <w:rsid w:val="00E12207"/>
    <w:rsid w:val="00E335C9"/>
    <w:rsid w:val="00E34C3A"/>
    <w:rsid w:val="00E40B67"/>
    <w:rsid w:val="00E5280F"/>
    <w:rsid w:val="00E7536F"/>
    <w:rsid w:val="00E8699F"/>
    <w:rsid w:val="00E9326C"/>
    <w:rsid w:val="00EA2EFE"/>
    <w:rsid w:val="00EB082E"/>
    <w:rsid w:val="00EB3139"/>
    <w:rsid w:val="00EC0C87"/>
    <w:rsid w:val="00EF50EF"/>
    <w:rsid w:val="00F20E55"/>
    <w:rsid w:val="00F4304D"/>
    <w:rsid w:val="00F44245"/>
    <w:rsid w:val="00F44EF4"/>
    <w:rsid w:val="00F45694"/>
    <w:rsid w:val="00F62C40"/>
    <w:rsid w:val="00F6780B"/>
    <w:rsid w:val="00F74A0F"/>
    <w:rsid w:val="00F753AB"/>
    <w:rsid w:val="00F87092"/>
    <w:rsid w:val="00FC0F54"/>
    <w:rsid w:val="00FD6E20"/>
    <w:rsid w:val="03B36034"/>
    <w:rsid w:val="14290CB3"/>
    <w:rsid w:val="1FD436D5"/>
    <w:rsid w:val="277F9779"/>
    <w:rsid w:val="2CC83BC8"/>
    <w:rsid w:val="2E7E0828"/>
    <w:rsid w:val="2FBE0EA8"/>
    <w:rsid w:val="383D6539"/>
    <w:rsid w:val="39CFFC8F"/>
    <w:rsid w:val="3F052C7F"/>
    <w:rsid w:val="3FE66E23"/>
    <w:rsid w:val="539D4904"/>
    <w:rsid w:val="543E6E48"/>
    <w:rsid w:val="55FD742A"/>
    <w:rsid w:val="59EA728F"/>
    <w:rsid w:val="5EFA7CCD"/>
    <w:rsid w:val="64BA9772"/>
    <w:rsid w:val="64D40D9A"/>
    <w:rsid w:val="71D94164"/>
    <w:rsid w:val="7363522C"/>
    <w:rsid w:val="75EDB7C1"/>
    <w:rsid w:val="777B668F"/>
    <w:rsid w:val="77861CAC"/>
    <w:rsid w:val="77E6C1C5"/>
    <w:rsid w:val="7BFE9A3A"/>
    <w:rsid w:val="7DADA677"/>
    <w:rsid w:val="7DCA032A"/>
    <w:rsid w:val="7F3EF748"/>
    <w:rsid w:val="7F7D58EC"/>
    <w:rsid w:val="7F7DE7B8"/>
    <w:rsid w:val="7FE70859"/>
    <w:rsid w:val="7FF7EEFB"/>
    <w:rsid w:val="7FFF030E"/>
    <w:rsid w:val="9D4B5CFF"/>
    <w:rsid w:val="9DDFB921"/>
    <w:rsid w:val="AFB545C0"/>
    <w:rsid w:val="B6CF9FF7"/>
    <w:rsid w:val="B8D1AA34"/>
    <w:rsid w:val="BA7B23C6"/>
    <w:rsid w:val="BEFB3688"/>
    <w:rsid w:val="D763CD4C"/>
    <w:rsid w:val="DA9DA7FF"/>
    <w:rsid w:val="DDFD0F00"/>
    <w:rsid w:val="E998C762"/>
    <w:rsid w:val="EFAFAE0F"/>
    <w:rsid w:val="EFFE1F6D"/>
    <w:rsid w:val="F2DD1E3E"/>
    <w:rsid w:val="F99FC988"/>
    <w:rsid w:val="FBF74872"/>
    <w:rsid w:val="FBFEB1A7"/>
    <w:rsid w:val="FDFE9A2A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Calibri" w:hAnsi="Calibri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table" w:customStyle="1" w:styleId="13">
    <w:name w:val="网格型1"/>
    <w:basedOn w:val="7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9"/>
    <w:link w:val="4"/>
    <w:semiHidden/>
    <w:qFormat/>
    <w:uiPriority w:val="99"/>
  </w:style>
  <w:style w:type="paragraph" w:customStyle="1" w:styleId="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2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3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color w:val="000000"/>
      <w:kern w:val="0"/>
      <w:sz w:val="18"/>
      <w:szCs w:val="18"/>
    </w:rPr>
  </w:style>
  <w:style w:type="paragraph" w:customStyle="1" w:styleId="3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44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45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7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10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10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11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9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60">
    <w:name w:val="xl115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11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2">
    <w:name w:val="xl11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3">
    <w:name w:val="xl11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11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12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12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12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12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124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xl1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1">
    <w:name w:val="xl12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4"/>
      <w:szCs w:val="14"/>
    </w:rPr>
  </w:style>
  <w:style w:type="paragraph" w:customStyle="1" w:styleId="72">
    <w:name w:val="xl12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3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xl1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7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1045</Words>
  <Characters>5961</Characters>
  <Lines>49</Lines>
  <Paragraphs>13</Paragraphs>
  <TotalTime>4</TotalTime>
  <ScaleCrop>false</ScaleCrop>
  <LinksUpToDate>false</LinksUpToDate>
  <CharactersWithSpaces>6993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2020-12-05T19:42:00Z</dcterms:created>
  <dc:creator>27989</dc:creator>
  <cp:lastModifiedBy>greatwall</cp:lastModifiedBy>
  <dcterms:modified xsi:type="dcterms:W3CDTF">2022-11-17T10:55:58Z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366B6B0667B547668714B5CCA23E4EA9</vt:lpwstr>
  </property>
</Properties>
</file>