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7F8" w:rsidRDefault="00AB27F8">
      <w:pPr>
        <w:overflowPunct w:val="0"/>
        <w:adjustRightInd w:val="0"/>
        <w:spacing w:line="588" w:lineRule="exact"/>
        <w:jc w:val="center"/>
        <w:rPr>
          <w:rFonts w:eastAsia="华文仿宋"/>
          <w:b/>
          <w:sz w:val="44"/>
          <w:szCs w:val="44"/>
        </w:rPr>
      </w:pPr>
    </w:p>
    <w:p w:rsidR="00AB27F8" w:rsidRDefault="00B97B80">
      <w:pPr>
        <w:overflowPunct w:val="0"/>
        <w:adjustRightInd w:val="0"/>
        <w:spacing w:line="588" w:lineRule="exact"/>
        <w:jc w:val="center"/>
        <w:rPr>
          <w:rFonts w:eastAsia="方正小标宋简体"/>
          <w:sz w:val="44"/>
          <w:szCs w:val="44"/>
        </w:rPr>
      </w:pPr>
      <w:r>
        <w:rPr>
          <w:rFonts w:eastAsia="方正小标宋简体"/>
          <w:sz w:val="44"/>
          <w:szCs w:val="44"/>
        </w:rPr>
        <w:t>关于张家窝镇</w:t>
      </w:r>
      <w:r>
        <w:rPr>
          <w:rFonts w:eastAsia="方正小标宋简体"/>
          <w:sz w:val="44"/>
          <w:szCs w:val="44"/>
        </w:rPr>
        <w:t>2024</w:t>
      </w:r>
      <w:r>
        <w:rPr>
          <w:rFonts w:eastAsia="方正小标宋简体"/>
          <w:sz w:val="44"/>
          <w:szCs w:val="44"/>
        </w:rPr>
        <w:t>年财政决算</w:t>
      </w:r>
    </w:p>
    <w:p w:rsidR="00AB27F8" w:rsidRDefault="00B97B80">
      <w:pPr>
        <w:overflowPunct w:val="0"/>
        <w:adjustRightInd w:val="0"/>
        <w:spacing w:line="588" w:lineRule="exact"/>
        <w:jc w:val="center"/>
        <w:rPr>
          <w:rFonts w:eastAsia="方正小标宋简体"/>
          <w:sz w:val="44"/>
          <w:szCs w:val="44"/>
        </w:rPr>
      </w:pPr>
      <w:r>
        <w:rPr>
          <w:rFonts w:eastAsia="方正小标宋简体"/>
          <w:sz w:val="44"/>
          <w:szCs w:val="44"/>
        </w:rPr>
        <w:t>草案的报告</w:t>
      </w:r>
    </w:p>
    <w:p w:rsidR="00AB27F8" w:rsidRDefault="00AB27F8">
      <w:pPr>
        <w:overflowPunct w:val="0"/>
        <w:adjustRightInd w:val="0"/>
        <w:spacing w:line="588" w:lineRule="exact"/>
        <w:jc w:val="center"/>
        <w:rPr>
          <w:rFonts w:eastAsia="方正小标宋简体"/>
          <w:sz w:val="44"/>
          <w:szCs w:val="44"/>
        </w:rPr>
      </w:pPr>
    </w:p>
    <w:p w:rsidR="00AB27F8" w:rsidRDefault="00B97B80">
      <w:pPr>
        <w:overflowPunct w:val="0"/>
        <w:adjustRightInd w:val="0"/>
        <w:spacing w:line="588" w:lineRule="exact"/>
        <w:jc w:val="center"/>
        <w:rPr>
          <w:rFonts w:ascii="楷体_GB2312" w:eastAsia="楷体_GB2312" w:hAnsi="楷体_GB2312" w:cs="楷体_GB2312"/>
          <w:sz w:val="34"/>
          <w:szCs w:val="34"/>
        </w:rPr>
      </w:pPr>
      <w:r>
        <w:rPr>
          <w:rFonts w:eastAsia="方正楷体简体"/>
          <w:sz w:val="34"/>
          <w:szCs w:val="34"/>
        </w:rPr>
        <w:t>——</w:t>
      </w:r>
      <w:r>
        <w:rPr>
          <w:rFonts w:eastAsia="楷体_GB2312"/>
          <w:sz w:val="34"/>
          <w:szCs w:val="34"/>
        </w:rPr>
        <w:t>2025</w:t>
      </w:r>
      <w:r>
        <w:rPr>
          <w:rFonts w:ascii="楷体_GB2312" w:eastAsia="楷体_GB2312" w:hAnsi="楷体_GB2312" w:cs="楷体_GB2312" w:hint="eastAsia"/>
          <w:sz w:val="34"/>
          <w:szCs w:val="34"/>
        </w:rPr>
        <w:t>年</w:t>
      </w:r>
      <w:r>
        <w:rPr>
          <w:rFonts w:eastAsia="楷体_GB2312"/>
          <w:sz w:val="34"/>
          <w:szCs w:val="34"/>
        </w:rPr>
        <w:t>6</w:t>
      </w:r>
      <w:r>
        <w:rPr>
          <w:rFonts w:ascii="楷体_GB2312" w:eastAsia="楷体_GB2312" w:hAnsi="楷体_GB2312" w:cs="楷体_GB2312" w:hint="eastAsia"/>
          <w:sz w:val="34"/>
          <w:szCs w:val="34"/>
        </w:rPr>
        <w:t>月</w:t>
      </w:r>
      <w:r>
        <w:rPr>
          <w:rFonts w:eastAsia="楷体_GB2312"/>
          <w:sz w:val="34"/>
          <w:szCs w:val="34"/>
        </w:rPr>
        <w:t>25</w:t>
      </w:r>
      <w:r>
        <w:rPr>
          <w:rFonts w:ascii="楷体_GB2312" w:eastAsia="楷体_GB2312" w:hAnsi="楷体_GB2312" w:cs="楷体_GB2312" w:hint="eastAsia"/>
          <w:sz w:val="34"/>
          <w:szCs w:val="34"/>
        </w:rPr>
        <w:t>日在</w:t>
      </w:r>
      <w:r>
        <w:rPr>
          <w:rFonts w:ascii="楷体_GB2312" w:eastAsia="楷体_GB2312" w:hAnsi="楷体_GB2312" w:cs="楷体_GB2312" w:hint="eastAsia"/>
          <w:sz w:val="34"/>
          <w:szCs w:val="34"/>
        </w:rPr>
        <w:t>天津市西青区</w:t>
      </w:r>
      <w:r>
        <w:rPr>
          <w:rFonts w:ascii="楷体_GB2312" w:eastAsia="楷体_GB2312" w:hAnsi="楷体_GB2312" w:cs="楷体_GB2312" w:hint="eastAsia"/>
          <w:sz w:val="34"/>
          <w:szCs w:val="34"/>
        </w:rPr>
        <w:t>张家窝镇</w:t>
      </w:r>
    </w:p>
    <w:p w:rsidR="00AB27F8" w:rsidRDefault="00B97B80">
      <w:pPr>
        <w:overflowPunct w:val="0"/>
        <w:adjustRightInd w:val="0"/>
        <w:spacing w:line="588" w:lineRule="exact"/>
        <w:jc w:val="center"/>
        <w:rPr>
          <w:rFonts w:ascii="楷体_GB2312" w:eastAsia="楷体_GB2312" w:hAnsi="楷体_GB2312" w:cs="楷体_GB2312"/>
          <w:sz w:val="34"/>
          <w:szCs w:val="34"/>
        </w:rPr>
      </w:pPr>
      <w:r>
        <w:rPr>
          <w:rFonts w:ascii="楷体_GB2312" w:eastAsia="楷体_GB2312" w:hAnsi="楷体_GB2312" w:cs="楷体_GB2312" w:hint="eastAsia"/>
          <w:sz w:val="34"/>
          <w:szCs w:val="34"/>
        </w:rPr>
        <w:t>第十九届人民代表大会第十二次会议上</w:t>
      </w:r>
    </w:p>
    <w:p w:rsidR="00AB27F8" w:rsidRDefault="00B97B80">
      <w:pPr>
        <w:overflowPunct w:val="0"/>
        <w:spacing w:beforeLines="50" w:before="156" w:afterLines="50" w:after="156" w:line="588" w:lineRule="exact"/>
        <w:jc w:val="center"/>
        <w:rPr>
          <w:rFonts w:ascii="楷体_GB2312" w:eastAsia="楷体_GB2312" w:hAnsi="楷体_GB2312" w:cs="楷体_GB2312"/>
          <w:sz w:val="34"/>
          <w:szCs w:val="34"/>
        </w:rPr>
      </w:pPr>
      <w:r>
        <w:rPr>
          <w:rFonts w:ascii="楷体_GB2312" w:eastAsia="楷体_GB2312" w:hAnsi="楷体_GB2312" w:cs="楷体_GB2312" w:hint="eastAsia"/>
          <w:sz w:val="34"/>
          <w:szCs w:val="34"/>
        </w:rPr>
        <w:t>张家窝镇副镇长</w:t>
      </w:r>
      <w:r>
        <w:rPr>
          <w:rFonts w:ascii="楷体_GB2312" w:eastAsia="楷体_GB2312" w:hAnsi="楷体_GB2312" w:cs="楷体_GB2312" w:hint="eastAsia"/>
          <w:sz w:val="34"/>
          <w:szCs w:val="34"/>
        </w:rPr>
        <w:t xml:space="preserve"> </w:t>
      </w:r>
      <w:r>
        <w:rPr>
          <w:rFonts w:ascii="楷体_GB2312" w:eastAsia="楷体_GB2312" w:hAnsi="楷体_GB2312" w:cs="楷体_GB2312" w:hint="eastAsia"/>
          <w:sz w:val="34"/>
          <w:szCs w:val="34"/>
        </w:rPr>
        <w:t>王建培</w:t>
      </w:r>
    </w:p>
    <w:p w:rsidR="00AB27F8" w:rsidRDefault="00AB27F8">
      <w:pPr>
        <w:pStyle w:val="ab"/>
        <w:widowControl w:val="0"/>
        <w:shd w:val="clear" w:color="auto" w:fill="FFFFFF"/>
        <w:overflowPunct w:val="0"/>
        <w:spacing w:before="0" w:beforeAutospacing="0" w:after="0" w:afterAutospacing="0" w:line="588" w:lineRule="exact"/>
        <w:jc w:val="both"/>
        <w:rPr>
          <w:rFonts w:ascii="方正仿宋简体" w:eastAsia="方正仿宋简体" w:hAnsi="方正仿宋简体" w:cs="方正仿宋简体"/>
          <w:kern w:val="2"/>
          <w:sz w:val="34"/>
          <w:szCs w:val="34"/>
        </w:rPr>
      </w:pPr>
    </w:p>
    <w:p w:rsidR="00AB27F8" w:rsidRDefault="00B97B80">
      <w:pPr>
        <w:pStyle w:val="ab"/>
        <w:widowControl w:val="0"/>
        <w:shd w:val="clear" w:color="auto" w:fill="FFFFFF"/>
        <w:overflowPunct w:val="0"/>
        <w:spacing w:before="0" w:beforeAutospacing="0" w:after="0" w:afterAutospacing="0" w:line="588" w:lineRule="exact"/>
        <w:jc w:val="both"/>
        <w:rPr>
          <w:rFonts w:ascii="方正仿宋简体" w:eastAsia="方正仿宋简体" w:hAnsi="方正仿宋简体" w:cs="方正仿宋简体"/>
          <w:kern w:val="2"/>
          <w:sz w:val="34"/>
          <w:szCs w:val="34"/>
        </w:rPr>
      </w:pPr>
      <w:r>
        <w:rPr>
          <w:rFonts w:ascii="方正仿宋简体" w:eastAsia="方正仿宋简体" w:hAnsi="方正仿宋简体" w:cs="方正仿宋简体" w:hint="eastAsia"/>
          <w:kern w:val="2"/>
          <w:sz w:val="34"/>
          <w:szCs w:val="34"/>
        </w:rPr>
        <w:t>各位代表：</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方正仿宋简体" w:eastAsia="方正仿宋简体" w:hAnsi="方正仿宋简体" w:cs="方正仿宋简体"/>
          <w:kern w:val="2"/>
          <w:sz w:val="34"/>
          <w:szCs w:val="34"/>
        </w:rPr>
      </w:pPr>
      <w:r>
        <w:rPr>
          <w:rFonts w:ascii="方正仿宋简体" w:eastAsia="方正仿宋简体" w:hAnsi="方正仿宋简体" w:cs="方正仿宋简体" w:hint="eastAsia"/>
          <w:kern w:val="2"/>
          <w:sz w:val="34"/>
          <w:szCs w:val="34"/>
        </w:rPr>
        <w:t>受镇人民政府委托，我向大会</w:t>
      </w:r>
      <w:r>
        <w:rPr>
          <w:rFonts w:ascii="方正仿宋简体" w:eastAsia="方正仿宋简体" w:hAnsi="方正仿宋简体" w:cs="方正仿宋简体" w:hint="eastAsia"/>
          <w:kern w:val="2"/>
          <w:sz w:val="34"/>
          <w:szCs w:val="34"/>
        </w:rPr>
        <w:t>作关于</w:t>
      </w:r>
      <w:r>
        <w:rPr>
          <w:rFonts w:ascii="方正仿宋简体" w:eastAsia="方正仿宋简体" w:hAnsi="方正仿宋简体" w:cs="方正仿宋简体" w:hint="eastAsia"/>
          <w:kern w:val="2"/>
          <w:sz w:val="34"/>
          <w:szCs w:val="34"/>
        </w:rPr>
        <w:t>张家窝镇</w:t>
      </w:r>
      <w:r>
        <w:rPr>
          <w:rFonts w:ascii="Times New Roman" w:eastAsia="方正仿宋简体" w:hAnsi="Times New Roman" w:cs="Times New Roman"/>
          <w:kern w:val="2"/>
          <w:sz w:val="34"/>
          <w:szCs w:val="34"/>
        </w:rPr>
        <w:t>2024</w:t>
      </w:r>
      <w:r>
        <w:rPr>
          <w:rFonts w:ascii="方正仿宋简体" w:eastAsia="方正仿宋简体" w:hAnsi="方正仿宋简体" w:cs="方正仿宋简体" w:hint="eastAsia"/>
          <w:kern w:val="2"/>
          <w:sz w:val="34"/>
          <w:szCs w:val="34"/>
        </w:rPr>
        <w:t>年财政决算草案情况的报告，请予以审议。</w:t>
      </w:r>
    </w:p>
    <w:p w:rsidR="00AB27F8" w:rsidRDefault="00B97B80">
      <w:pPr>
        <w:overflowPunct w:val="0"/>
        <w:spacing w:line="588" w:lineRule="exact"/>
        <w:ind w:firstLineChars="200" w:firstLine="680"/>
        <w:rPr>
          <w:rFonts w:eastAsia="黑体" w:cs="黑体"/>
          <w:sz w:val="34"/>
          <w:szCs w:val="34"/>
        </w:rPr>
      </w:pPr>
      <w:r>
        <w:rPr>
          <w:rFonts w:eastAsia="黑体" w:cs="黑体" w:hint="eastAsia"/>
          <w:sz w:val="34"/>
          <w:szCs w:val="34"/>
        </w:rPr>
        <w:t>一、</w:t>
      </w:r>
      <w:r>
        <w:rPr>
          <w:rFonts w:eastAsia="黑体" w:cs="黑体" w:hint="eastAsia"/>
          <w:sz w:val="34"/>
          <w:szCs w:val="34"/>
        </w:rPr>
        <w:t>2024</w:t>
      </w:r>
      <w:r>
        <w:rPr>
          <w:rFonts w:eastAsia="黑体" w:cs="黑体" w:hint="eastAsia"/>
          <w:sz w:val="34"/>
          <w:szCs w:val="34"/>
        </w:rPr>
        <w:t>年财政收支决算情况</w:t>
      </w:r>
    </w:p>
    <w:p w:rsidR="00AB27F8" w:rsidRDefault="00B97B80">
      <w:pPr>
        <w:spacing w:line="588" w:lineRule="exact"/>
        <w:ind w:firstLineChars="200" w:firstLine="680"/>
        <w:rPr>
          <w:rFonts w:ascii="方正仿宋简体" w:eastAsia="方正仿宋简体" w:hAnsi="方正仿宋简体" w:cs="方正仿宋简体"/>
          <w:sz w:val="34"/>
          <w:szCs w:val="34"/>
        </w:rPr>
      </w:pPr>
      <w:r>
        <w:rPr>
          <w:rFonts w:eastAsia="方正仿宋简体"/>
          <w:sz w:val="34"/>
          <w:szCs w:val="34"/>
        </w:rPr>
        <w:t>2024</w:t>
      </w:r>
      <w:r>
        <w:rPr>
          <w:rFonts w:ascii="方正仿宋简体" w:eastAsia="方正仿宋简体" w:hAnsi="方正仿宋简体" w:cs="方正仿宋简体" w:hint="eastAsia"/>
          <w:sz w:val="34"/>
          <w:szCs w:val="34"/>
        </w:rPr>
        <w:t>年，全镇坚持以习近平新时代中国特色社会主义思想为指导，全面学习贯彻党的二十大和二十届二中、三中全会精神，严格执行镇第十九届人民代表大会第八次会议批准的预算，坚持稳中求进工作总基调，把“过紧日子”作为常态化要求，进一步优化支出结构，严格预算管理，压减非急需非刚性支出，从严控制部门预算追加，兜牢兜实“三保”底线，圆满完成各项财政重点工作，全镇决算情况总体良好。根据《中华人民共和国预算法》有关规定，重点报告以下情况：</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lastRenderedPageBreak/>
        <w:t>（一）</w:t>
      </w:r>
      <w:r>
        <w:rPr>
          <w:rFonts w:ascii="Times New Roman" w:eastAsia="楷体_GB2312" w:hAnsi="Times New Roman" w:cs="楷体_GB2312" w:hint="eastAsia"/>
          <w:kern w:val="2"/>
          <w:sz w:val="34"/>
          <w:szCs w:val="34"/>
        </w:rPr>
        <w:t>2024</w:t>
      </w:r>
      <w:r>
        <w:rPr>
          <w:rFonts w:ascii="Times New Roman" w:eastAsia="楷体_GB2312" w:hAnsi="Times New Roman" w:cs="楷体_GB2312" w:hint="eastAsia"/>
          <w:kern w:val="2"/>
          <w:sz w:val="34"/>
          <w:szCs w:val="34"/>
        </w:rPr>
        <w:t>年一般公共预算收支情况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2024</w:t>
      </w:r>
      <w:r>
        <w:rPr>
          <w:rFonts w:eastAsia="方正仿宋简体" w:hint="eastAsia"/>
          <w:sz w:val="34"/>
          <w:szCs w:val="34"/>
        </w:rPr>
        <w:t>年我镇一般公共预算收入</w:t>
      </w:r>
      <w:r>
        <w:rPr>
          <w:rFonts w:eastAsia="方正仿宋简体"/>
          <w:sz w:val="34"/>
          <w:szCs w:val="34"/>
        </w:rPr>
        <w:t>20493</w:t>
      </w:r>
      <w:r>
        <w:rPr>
          <w:rFonts w:eastAsia="方正仿宋简体" w:hint="eastAsia"/>
          <w:sz w:val="34"/>
          <w:szCs w:val="34"/>
        </w:rPr>
        <w:t>万元，其中：税收收</w:t>
      </w:r>
      <w:r>
        <w:rPr>
          <w:rFonts w:eastAsia="方正仿宋简体" w:hint="eastAsia"/>
          <w:sz w:val="34"/>
          <w:szCs w:val="34"/>
        </w:rPr>
        <w:t>入</w:t>
      </w:r>
      <w:r>
        <w:rPr>
          <w:rFonts w:eastAsia="方正仿宋简体"/>
          <w:sz w:val="34"/>
          <w:szCs w:val="34"/>
        </w:rPr>
        <w:t>19245</w:t>
      </w:r>
      <w:r>
        <w:rPr>
          <w:rFonts w:eastAsia="方正仿宋简体" w:hint="eastAsia"/>
          <w:sz w:val="34"/>
          <w:szCs w:val="34"/>
        </w:rPr>
        <w:t>万元、非税收入</w:t>
      </w:r>
      <w:r>
        <w:rPr>
          <w:rFonts w:eastAsia="方正仿宋简体"/>
          <w:sz w:val="34"/>
          <w:szCs w:val="34"/>
        </w:rPr>
        <w:t>1248</w:t>
      </w:r>
      <w:r>
        <w:rPr>
          <w:rFonts w:eastAsia="方正仿宋简体" w:hint="eastAsia"/>
          <w:sz w:val="34"/>
          <w:szCs w:val="34"/>
        </w:rPr>
        <w:t>万元。加上上年结余</w:t>
      </w:r>
      <w:r>
        <w:rPr>
          <w:rFonts w:eastAsia="方正仿宋简体"/>
          <w:sz w:val="34"/>
          <w:szCs w:val="34"/>
        </w:rPr>
        <w:t>1114</w:t>
      </w:r>
      <w:r>
        <w:rPr>
          <w:rFonts w:eastAsia="方正仿宋简体" w:hint="eastAsia"/>
          <w:sz w:val="34"/>
          <w:szCs w:val="34"/>
        </w:rPr>
        <w:t>万元、上级转移支付收入</w:t>
      </w:r>
      <w:r>
        <w:rPr>
          <w:rFonts w:eastAsia="方正仿宋简体"/>
          <w:sz w:val="34"/>
          <w:szCs w:val="34"/>
        </w:rPr>
        <w:t>23570</w:t>
      </w:r>
      <w:r>
        <w:rPr>
          <w:rFonts w:eastAsia="方正仿宋简体" w:hint="eastAsia"/>
          <w:sz w:val="34"/>
          <w:szCs w:val="34"/>
        </w:rPr>
        <w:t>万元，调入资金</w:t>
      </w:r>
      <w:r>
        <w:rPr>
          <w:rFonts w:eastAsia="方正仿宋简体"/>
          <w:sz w:val="34"/>
          <w:szCs w:val="34"/>
        </w:rPr>
        <w:t>9851</w:t>
      </w:r>
      <w:r>
        <w:rPr>
          <w:rFonts w:eastAsia="方正仿宋简体" w:hint="eastAsia"/>
          <w:sz w:val="34"/>
          <w:szCs w:val="34"/>
        </w:rPr>
        <w:t>万元，动用预算稳定调节基金</w:t>
      </w:r>
      <w:r>
        <w:rPr>
          <w:rFonts w:eastAsia="方正仿宋简体"/>
          <w:sz w:val="34"/>
          <w:szCs w:val="34"/>
        </w:rPr>
        <w:t>3560</w:t>
      </w:r>
      <w:r>
        <w:rPr>
          <w:rFonts w:eastAsia="方正仿宋简体" w:hint="eastAsia"/>
          <w:sz w:val="34"/>
          <w:szCs w:val="34"/>
        </w:rPr>
        <w:t>万元，全镇一般公共预算总财力为</w:t>
      </w:r>
      <w:r>
        <w:rPr>
          <w:rFonts w:eastAsia="方正仿宋简体"/>
          <w:sz w:val="34"/>
          <w:szCs w:val="34"/>
        </w:rPr>
        <w:t>58588</w:t>
      </w:r>
      <w:r>
        <w:rPr>
          <w:rFonts w:eastAsia="方正仿宋简体" w:hint="eastAsia"/>
          <w:sz w:val="34"/>
          <w:szCs w:val="34"/>
        </w:rPr>
        <w:t>万元。减去上解支出</w:t>
      </w:r>
      <w:r>
        <w:rPr>
          <w:rFonts w:eastAsia="方正仿宋简体"/>
          <w:sz w:val="34"/>
          <w:szCs w:val="34"/>
        </w:rPr>
        <w:t>15529</w:t>
      </w:r>
      <w:r>
        <w:rPr>
          <w:rFonts w:eastAsia="方正仿宋简体" w:hint="eastAsia"/>
          <w:sz w:val="34"/>
          <w:szCs w:val="34"/>
        </w:rPr>
        <w:t>万元，一般公共预算可支配财力</w:t>
      </w:r>
      <w:r>
        <w:rPr>
          <w:rFonts w:eastAsia="方正仿宋简体"/>
          <w:sz w:val="34"/>
          <w:szCs w:val="34"/>
        </w:rPr>
        <w:t>43059</w:t>
      </w:r>
      <w:r>
        <w:rPr>
          <w:rFonts w:eastAsia="方正仿宋简体" w:hint="eastAsia"/>
          <w:sz w:val="34"/>
          <w:szCs w:val="34"/>
        </w:rPr>
        <w:t>万元。本级一般公共预算支出为</w:t>
      </w:r>
      <w:r>
        <w:rPr>
          <w:rFonts w:eastAsia="方正仿宋简体" w:hint="eastAsia"/>
          <w:sz w:val="34"/>
          <w:szCs w:val="34"/>
        </w:rPr>
        <w:t>4</w:t>
      </w:r>
      <w:r>
        <w:rPr>
          <w:rFonts w:eastAsia="方正仿宋简体"/>
          <w:sz w:val="34"/>
          <w:szCs w:val="34"/>
        </w:rPr>
        <w:t>3059</w:t>
      </w:r>
      <w:r>
        <w:rPr>
          <w:rFonts w:eastAsia="方正仿宋简体" w:hint="eastAsia"/>
          <w:sz w:val="34"/>
          <w:szCs w:val="34"/>
        </w:rPr>
        <w:t>万元。年终财政</w:t>
      </w:r>
      <w:r>
        <w:rPr>
          <w:rFonts w:eastAsia="方正仿宋简体"/>
          <w:sz w:val="34"/>
          <w:szCs w:val="34"/>
        </w:rPr>
        <w:t>局</w:t>
      </w:r>
      <w:r>
        <w:rPr>
          <w:rFonts w:eastAsia="方正仿宋简体" w:hint="eastAsia"/>
          <w:sz w:val="34"/>
          <w:szCs w:val="34"/>
        </w:rPr>
        <w:t>应</w:t>
      </w:r>
      <w:r>
        <w:rPr>
          <w:rFonts w:eastAsia="方正仿宋简体"/>
          <w:sz w:val="34"/>
          <w:szCs w:val="34"/>
        </w:rPr>
        <w:t>下达未下达</w:t>
      </w:r>
      <w:r>
        <w:rPr>
          <w:rFonts w:eastAsia="方正仿宋简体"/>
          <w:sz w:val="34"/>
          <w:szCs w:val="34"/>
        </w:rPr>
        <w:t>91032</w:t>
      </w:r>
      <w:r>
        <w:rPr>
          <w:rFonts w:eastAsia="方正仿宋简体" w:hint="eastAsia"/>
          <w:sz w:val="34"/>
          <w:szCs w:val="34"/>
        </w:rPr>
        <w:t>万元，</w:t>
      </w:r>
      <w:r>
        <w:rPr>
          <w:rFonts w:eastAsia="方正仿宋简体"/>
          <w:sz w:val="34"/>
          <w:szCs w:val="34"/>
        </w:rPr>
        <w:t>其中</w:t>
      </w:r>
      <w:r>
        <w:rPr>
          <w:rFonts w:eastAsia="方正仿宋简体" w:hint="eastAsia"/>
          <w:sz w:val="34"/>
          <w:szCs w:val="34"/>
        </w:rPr>
        <w:t>本年</w:t>
      </w:r>
      <w:r>
        <w:rPr>
          <w:rFonts w:eastAsia="方正仿宋简体"/>
          <w:sz w:val="34"/>
          <w:szCs w:val="34"/>
        </w:rPr>
        <w:t>已下达暂未下达款项</w:t>
      </w:r>
      <w:r>
        <w:rPr>
          <w:rFonts w:eastAsia="方正仿宋简体" w:hint="eastAsia"/>
          <w:sz w:val="34"/>
          <w:szCs w:val="34"/>
        </w:rPr>
        <w:t>458</w:t>
      </w:r>
      <w:r>
        <w:rPr>
          <w:rFonts w:eastAsia="方正仿宋简体" w:hint="eastAsia"/>
          <w:sz w:val="34"/>
          <w:szCs w:val="34"/>
        </w:rPr>
        <w:t>万元</w:t>
      </w:r>
      <w:r>
        <w:rPr>
          <w:rFonts w:eastAsia="方正仿宋简体"/>
          <w:sz w:val="34"/>
          <w:szCs w:val="34"/>
        </w:rPr>
        <w:t>，本年</w:t>
      </w:r>
      <w:r>
        <w:rPr>
          <w:rFonts w:eastAsia="方正仿宋简体" w:hint="eastAsia"/>
          <w:sz w:val="34"/>
          <w:szCs w:val="34"/>
        </w:rPr>
        <w:t>新增</w:t>
      </w:r>
      <w:r>
        <w:rPr>
          <w:rFonts w:eastAsia="方正仿宋简体"/>
          <w:sz w:val="34"/>
          <w:szCs w:val="34"/>
        </w:rPr>
        <w:t>暂未下达款项</w:t>
      </w:r>
      <w:r>
        <w:rPr>
          <w:rFonts w:eastAsia="方正仿宋简体" w:hint="eastAsia"/>
          <w:sz w:val="34"/>
          <w:szCs w:val="34"/>
        </w:rPr>
        <w:t>15029</w:t>
      </w:r>
      <w:r>
        <w:rPr>
          <w:rFonts w:eastAsia="方正仿宋简体" w:hint="eastAsia"/>
          <w:sz w:val="34"/>
          <w:szCs w:val="34"/>
        </w:rPr>
        <w:t>万元</w:t>
      </w:r>
      <w:r>
        <w:rPr>
          <w:rFonts w:eastAsia="方正仿宋简体"/>
          <w:sz w:val="34"/>
          <w:szCs w:val="34"/>
        </w:rPr>
        <w:t>（</w:t>
      </w:r>
      <w:r>
        <w:rPr>
          <w:rFonts w:eastAsia="方正仿宋简体" w:hint="eastAsia"/>
          <w:sz w:val="34"/>
          <w:szCs w:val="34"/>
        </w:rPr>
        <w:t>包括</w:t>
      </w:r>
      <w:r>
        <w:rPr>
          <w:rFonts w:eastAsia="方正仿宋简体"/>
          <w:sz w:val="34"/>
          <w:szCs w:val="34"/>
        </w:rPr>
        <w:t>一般公共预算</w:t>
      </w:r>
      <w:r>
        <w:rPr>
          <w:rFonts w:eastAsia="方正仿宋简体"/>
          <w:sz w:val="34"/>
          <w:szCs w:val="34"/>
        </w:rPr>
        <w:t>4669</w:t>
      </w:r>
      <w:r>
        <w:rPr>
          <w:rFonts w:eastAsia="方正仿宋简体" w:hint="eastAsia"/>
          <w:sz w:val="34"/>
          <w:szCs w:val="34"/>
        </w:rPr>
        <w:t>万元</w:t>
      </w:r>
      <w:r>
        <w:rPr>
          <w:rFonts w:eastAsia="方正仿宋简体"/>
          <w:sz w:val="34"/>
          <w:szCs w:val="34"/>
        </w:rPr>
        <w:t>，政府性基金预算</w:t>
      </w:r>
      <w:r>
        <w:rPr>
          <w:rFonts w:eastAsia="方正仿宋简体" w:hint="eastAsia"/>
          <w:sz w:val="34"/>
          <w:szCs w:val="34"/>
        </w:rPr>
        <w:t>61</w:t>
      </w:r>
      <w:r>
        <w:rPr>
          <w:rFonts w:eastAsia="方正仿宋简体"/>
          <w:sz w:val="34"/>
          <w:szCs w:val="34"/>
        </w:rPr>
        <w:t>01</w:t>
      </w:r>
      <w:r>
        <w:rPr>
          <w:rFonts w:eastAsia="方正仿宋简体" w:hint="eastAsia"/>
          <w:sz w:val="34"/>
          <w:szCs w:val="34"/>
        </w:rPr>
        <w:t>万元，</w:t>
      </w:r>
      <w:r>
        <w:rPr>
          <w:rFonts w:eastAsia="方正仿宋简体"/>
          <w:sz w:val="34"/>
          <w:szCs w:val="34"/>
        </w:rPr>
        <w:t>预算稳定调节基金</w:t>
      </w:r>
      <w:r>
        <w:rPr>
          <w:rFonts w:eastAsia="方正仿宋简体"/>
          <w:sz w:val="34"/>
          <w:szCs w:val="34"/>
        </w:rPr>
        <w:t>4259</w:t>
      </w:r>
      <w:r>
        <w:rPr>
          <w:rFonts w:eastAsia="方正仿宋简体" w:hint="eastAsia"/>
          <w:sz w:val="34"/>
          <w:szCs w:val="34"/>
        </w:rPr>
        <w:t>万元</w:t>
      </w:r>
      <w:r>
        <w:rPr>
          <w:rFonts w:eastAsia="方正仿宋简体"/>
          <w:sz w:val="34"/>
          <w:szCs w:val="34"/>
        </w:rPr>
        <w:t>）</w:t>
      </w:r>
      <w:r>
        <w:rPr>
          <w:rFonts w:eastAsia="方正仿宋简体" w:hint="eastAsia"/>
          <w:sz w:val="34"/>
          <w:szCs w:val="34"/>
        </w:rPr>
        <w:t>。</w:t>
      </w:r>
    </w:p>
    <w:p w:rsidR="00AB27F8" w:rsidRDefault="00B97B80">
      <w:pPr>
        <w:pStyle w:val="ab"/>
        <w:shd w:val="clear" w:color="auto" w:fill="FFFFFF"/>
        <w:spacing w:before="0" w:beforeAutospacing="0" w:after="0" w:afterAutospacing="0" w:line="588" w:lineRule="exact"/>
        <w:ind w:firstLineChars="200" w:firstLine="683"/>
        <w:jc w:val="both"/>
        <w:textAlignment w:val="baseline"/>
        <w:rPr>
          <w:rFonts w:ascii="Times New Roman" w:eastAsia="仿宋_GB2312" w:hAnsi="Times New Roman" w:cs="Times New Roman"/>
          <w:b/>
          <w:bCs/>
          <w:kern w:val="2"/>
          <w:sz w:val="34"/>
          <w:szCs w:val="34"/>
        </w:rPr>
      </w:pPr>
      <w:r>
        <w:rPr>
          <w:rFonts w:ascii="Times New Roman" w:eastAsia="仿宋_GB2312" w:hAnsi="Times New Roman" w:cs="Times New Roman" w:hint="eastAsia"/>
          <w:b/>
          <w:bCs/>
          <w:kern w:val="2"/>
          <w:sz w:val="34"/>
          <w:szCs w:val="34"/>
        </w:rPr>
        <w:t>1.</w:t>
      </w:r>
      <w:r>
        <w:rPr>
          <w:rFonts w:ascii="Times New Roman" w:eastAsia="方正仿宋简体" w:hAnsi="Times New Roman" w:cs="Times New Roman"/>
          <w:b/>
          <w:bCs/>
          <w:kern w:val="2"/>
          <w:sz w:val="34"/>
          <w:szCs w:val="34"/>
        </w:rPr>
        <w:t>2024</w:t>
      </w:r>
      <w:r>
        <w:rPr>
          <w:rFonts w:ascii="方正仿宋简体" w:eastAsia="方正仿宋简体" w:hAnsi="方正仿宋简体" w:cs="方正仿宋简体" w:hint="eastAsia"/>
          <w:b/>
          <w:bCs/>
          <w:kern w:val="2"/>
          <w:sz w:val="34"/>
          <w:szCs w:val="34"/>
        </w:rPr>
        <w:t>年一般公共预算支出情况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2024</w:t>
      </w:r>
      <w:r>
        <w:rPr>
          <w:rFonts w:eastAsia="方正仿宋简体" w:hint="eastAsia"/>
          <w:sz w:val="34"/>
          <w:szCs w:val="34"/>
        </w:rPr>
        <w:t>年一般公共预算支出</w:t>
      </w:r>
      <w:r>
        <w:rPr>
          <w:rFonts w:eastAsia="方正仿宋简体" w:hint="eastAsia"/>
          <w:sz w:val="34"/>
          <w:szCs w:val="34"/>
        </w:rPr>
        <w:t>43059</w:t>
      </w:r>
      <w:r>
        <w:rPr>
          <w:rFonts w:eastAsia="方正仿宋简体" w:hint="eastAsia"/>
          <w:sz w:val="34"/>
          <w:szCs w:val="34"/>
        </w:rPr>
        <w:t>万元，主要包括：</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1.</w:t>
      </w:r>
      <w:r>
        <w:rPr>
          <w:rFonts w:eastAsia="方正仿宋简体" w:hint="eastAsia"/>
          <w:sz w:val="34"/>
          <w:szCs w:val="34"/>
        </w:rPr>
        <w:t>一般公共服务支出</w:t>
      </w:r>
      <w:r>
        <w:rPr>
          <w:rFonts w:eastAsia="方正仿宋简体" w:hint="eastAsia"/>
          <w:sz w:val="34"/>
          <w:szCs w:val="34"/>
        </w:rPr>
        <w:t>6453</w:t>
      </w:r>
      <w:r>
        <w:rPr>
          <w:rFonts w:eastAsia="方正仿宋简体" w:hint="eastAsia"/>
          <w:sz w:val="34"/>
          <w:szCs w:val="34"/>
        </w:rPr>
        <w:t>万元。</w:t>
      </w:r>
      <w:r>
        <w:rPr>
          <w:rFonts w:eastAsia="方正仿宋简体" w:hint="eastAsia"/>
          <w:sz w:val="34"/>
          <w:szCs w:val="34"/>
        </w:rPr>
        <w:t xml:space="preserve"> </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2.</w:t>
      </w:r>
      <w:r>
        <w:rPr>
          <w:rFonts w:eastAsia="方正仿宋简体" w:hint="eastAsia"/>
          <w:sz w:val="34"/>
          <w:szCs w:val="34"/>
        </w:rPr>
        <w:t>公共安全支出</w:t>
      </w:r>
      <w:r>
        <w:rPr>
          <w:rFonts w:eastAsia="方正仿宋简体" w:hint="eastAsia"/>
          <w:sz w:val="34"/>
          <w:szCs w:val="34"/>
        </w:rPr>
        <w:t>261</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3.</w:t>
      </w:r>
      <w:r>
        <w:rPr>
          <w:rFonts w:eastAsia="方正仿宋简体" w:hint="eastAsia"/>
          <w:sz w:val="34"/>
          <w:szCs w:val="34"/>
        </w:rPr>
        <w:t>教育支出</w:t>
      </w:r>
      <w:r w:rsidR="002D221D">
        <w:rPr>
          <w:rFonts w:eastAsia="方正仿宋简体"/>
          <w:sz w:val="34"/>
          <w:szCs w:val="34"/>
        </w:rPr>
        <w:t>1487</w:t>
      </w:r>
      <w:r w:rsidR="00352E8B">
        <w:rPr>
          <w:rFonts w:eastAsia="方正仿宋简体"/>
          <w:sz w:val="34"/>
          <w:szCs w:val="34"/>
        </w:rPr>
        <w:t>1</w:t>
      </w:r>
      <w:r>
        <w:rPr>
          <w:rFonts w:eastAsia="方正仿宋简体" w:hint="eastAsia"/>
          <w:sz w:val="34"/>
          <w:szCs w:val="34"/>
        </w:rPr>
        <w:t>万元。</w:t>
      </w:r>
      <w:bookmarkStart w:id="0" w:name="_GoBack"/>
      <w:bookmarkEnd w:id="0"/>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4.</w:t>
      </w:r>
      <w:r>
        <w:rPr>
          <w:rFonts w:eastAsia="方正仿宋简体" w:hint="eastAsia"/>
          <w:sz w:val="34"/>
          <w:szCs w:val="34"/>
        </w:rPr>
        <w:t>文化体育与传媒支出</w:t>
      </w:r>
      <w:r>
        <w:rPr>
          <w:rFonts w:eastAsia="方正仿宋简体" w:hint="eastAsia"/>
          <w:sz w:val="34"/>
          <w:szCs w:val="34"/>
        </w:rPr>
        <w:t>76</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5.</w:t>
      </w:r>
      <w:r>
        <w:rPr>
          <w:rFonts w:eastAsia="方正仿宋简体" w:hint="eastAsia"/>
          <w:sz w:val="34"/>
          <w:szCs w:val="34"/>
        </w:rPr>
        <w:t>社会保障和就业支出</w:t>
      </w:r>
      <w:r>
        <w:rPr>
          <w:rFonts w:eastAsia="方正仿宋简体" w:hint="eastAsia"/>
          <w:sz w:val="34"/>
          <w:szCs w:val="34"/>
        </w:rPr>
        <w:t>6</w:t>
      </w:r>
      <w:r w:rsidR="002D221D">
        <w:rPr>
          <w:rFonts w:eastAsia="方正仿宋简体"/>
          <w:sz w:val="34"/>
          <w:szCs w:val="34"/>
        </w:rPr>
        <w:t>082</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6.</w:t>
      </w:r>
      <w:r>
        <w:rPr>
          <w:rFonts w:eastAsia="方正仿宋简体" w:hint="eastAsia"/>
          <w:sz w:val="34"/>
          <w:szCs w:val="34"/>
        </w:rPr>
        <w:t>卫生健康支出</w:t>
      </w:r>
      <w:r w:rsidR="002D221D">
        <w:rPr>
          <w:rFonts w:eastAsia="方正仿宋简体"/>
          <w:sz w:val="34"/>
          <w:szCs w:val="34"/>
        </w:rPr>
        <w:t>317</w:t>
      </w:r>
      <w:r w:rsidR="00352E8B">
        <w:rPr>
          <w:rFonts w:eastAsia="方正仿宋简体"/>
          <w:sz w:val="34"/>
          <w:szCs w:val="34"/>
        </w:rPr>
        <w:t>8</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7.</w:t>
      </w:r>
      <w:r>
        <w:rPr>
          <w:rFonts w:eastAsia="方正仿宋简体" w:hint="eastAsia"/>
          <w:sz w:val="34"/>
          <w:szCs w:val="34"/>
        </w:rPr>
        <w:t>节能环保支出</w:t>
      </w:r>
      <w:r>
        <w:rPr>
          <w:rFonts w:eastAsia="方正仿宋简体" w:hint="eastAsia"/>
          <w:sz w:val="34"/>
          <w:szCs w:val="34"/>
        </w:rPr>
        <w:t>578</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8.</w:t>
      </w:r>
      <w:r>
        <w:rPr>
          <w:rFonts w:eastAsia="方正仿宋简体" w:hint="eastAsia"/>
          <w:sz w:val="34"/>
          <w:szCs w:val="34"/>
        </w:rPr>
        <w:t>城乡社区支出</w:t>
      </w:r>
      <w:r>
        <w:rPr>
          <w:rFonts w:eastAsia="方正仿宋简体" w:hint="eastAsia"/>
          <w:sz w:val="34"/>
          <w:szCs w:val="34"/>
        </w:rPr>
        <w:t>6380</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9.</w:t>
      </w:r>
      <w:r>
        <w:rPr>
          <w:rFonts w:eastAsia="方正仿宋简体" w:hint="eastAsia"/>
          <w:sz w:val="34"/>
          <w:szCs w:val="34"/>
        </w:rPr>
        <w:t>农林水支出</w:t>
      </w:r>
      <w:r>
        <w:rPr>
          <w:rFonts w:eastAsia="方正仿宋简体" w:hint="eastAsia"/>
          <w:sz w:val="34"/>
          <w:szCs w:val="34"/>
        </w:rPr>
        <w:t>3061</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lastRenderedPageBreak/>
        <w:t>10.</w:t>
      </w:r>
      <w:r>
        <w:rPr>
          <w:rFonts w:eastAsia="方正仿宋简体" w:hint="eastAsia"/>
          <w:sz w:val="34"/>
          <w:szCs w:val="34"/>
        </w:rPr>
        <w:t>商业服务业等支出</w:t>
      </w:r>
      <w:r>
        <w:rPr>
          <w:rFonts w:eastAsia="方正仿宋简体" w:hint="eastAsia"/>
          <w:sz w:val="34"/>
          <w:szCs w:val="34"/>
        </w:rPr>
        <w:t>7</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1</w:t>
      </w:r>
      <w:r>
        <w:rPr>
          <w:rFonts w:eastAsia="方正仿宋简体"/>
          <w:sz w:val="34"/>
          <w:szCs w:val="34"/>
        </w:rPr>
        <w:t>1</w:t>
      </w:r>
      <w:r>
        <w:rPr>
          <w:rFonts w:eastAsia="方正仿宋简体" w:hint="eastAsia"/>
          <w:sz w:val="34"/>
          <w:szCs w:val="34"/>
        </w:rPr>
        <w:t>.</w:t>
      </w:r>
      <w:r>
        <w:rPr>
          <w:rFonts w:eastAsia="方正仿宋简体" w:hint="eastAsia"/>
          <w:sz w:val="34"/>
          <w:szCs w:val="34"/>
        </w:rPr>
        <w:t>债务付息支出</w:t>
      </w:r>
      <w:r>
        <w:rPr>
          <w:rFonts w:eastAsia="方正仿宋简体"/>
          <w:sz w:val="34"/>
          <w:szCs w:val="34"/>
        </w:rPr>
        <w:t>2112</w:t>
      </w:r>
      <w:r>
        <w:rPr>
          <w:rFonts w:eastAsia="方正仿宋简体" w:hint="eastAsia"/>
          <w:sz w:val="34"/>
          <w:szCs w:val="34"/>
        </w:rPr>
        <w:t>万元。</w:t>
      </w:r>
    </w:p>
    <w:p w:rsidR="00AB27F8" w:rsidRDefault="00B97B80">
      <w:pPr>
        <w:pStyle w:val="ab"/>
        <w:shd w:val="clear" w:color="auto" w:fill="FFFFFF"/>
        <w:spacing w:before="0" w:beforeAutospacing="0" w:after="0" w:afterAutospacing="0" w:line="588" w:lineRule="exact"/>
        <w:ind w:firstLineChars="200" w:firstLine="683"/>
        <w:jc w:val="both"/>
        <w:textAlignment w:val="baseline"/>
        <w:rPr>
          <w:rFonts w:ascii="Times New Roman" w:eastAsia="仿宋_GB2312" w:hAnsi="Times New Roman" w:cs="Times New Roman"/>
          <w:b/>
          <w:bCs/>
          <w:kern w:val="2"/>
          <w:sz w:val="34"/>
          <w:szCs w:val="34"/>
        </w:rPr>
      </w:pPr>
      <w:r>
        <w:rPr>
          <w:rFonts w:ascii="Times New Roman" w:eastAsia="仿宋_GB2312" w:hAnsi="Times New Roman" w:cs="Times New Roman" w:hint="eastAsia"/>
          <w:b/>
          <w:bCs/>
          <w:kern w:val="2"/>
          <w:sz w:val="34"/>
          <w:szCs w:val="34"/>
        </w:rPr>
        <w:t>2.2024</w:t>
      </w:r>
      <w:r>
        <w:rPr>
          <w:rFonts w:ascii="方正仿宋简体" w:eastAsia="方正仿宋简体" w:hAnsi="方正仿宋简体" w:cs="方正仿宋简体" w:hint="eastAsia"/>
          <w:b/>
          <w:bCs/>
          <w:kern w:val="2"/>
          <w:sz w:val="34"/>
          <w:szCs w:val="34"/>
        </w:rPr>
        <w:t>年预备费使用情况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年初预算安排预备费</w:t>
      </w:r>
      <w:r>
        <w:rPr>
          <w:rFonts w:eastAsia="方正仿宋简体" w:hint="eastAsia"/>
          <w:sz w:val="34"/>
          <w:szCs w:val="34"/>
        </w:rPr>
        <w:t>1000</w:t>
      </w:r>
      <w:r>
        <w:rPr>
          <w:rFonts w:eastAsia="方正仿宋简体" w:hint="eastAsia"/>
          <w:sz w:val="34"/>
          <w:szCs w:val="34"/>
        </w:rPr>
        <w:t>万元，未发</w:t>
      </w:r>
      <w:r>
        <w:rPr>
          <w:rFonts w:eastAsia="方正仿宋简体" w:hint="eastAsia"/>
          <w:sz w:val="34"/>
          <w:szCs w:val="34"/>
        </w:rPr>
        <w:t>生自然灾害等突发事件处理增加的支出及其他难以预见的开支，预备费余额</w:t>
      </w:r>
      <w:r>
        <w:rPr>
          <w:rFonts w:eastAsia="方正仿宋简体" w:hint="eastAsia"/>
          <w:sz w:val="34"/>
          <w:szCs w:val="34"/>
        </w:rPr>
        <w:t>1000</w:t>
      </w:r>
      <w:r>
        <w:rPr>
          <w:rFonts w:eastAsia="方正仿宋简体" w:hint="eastAsia"/>
          <w:sz w:val="34"/>
          <w:szCs w:val="34"/>
        </w:rPr>
        <w:t>万元年末收回用于平衡年度预算。</w:t>
      </w:r>
    </w:p>
    <w:p w:rsidR="00AB27F8" w:rsidRDefault="00B97B80">
      <w:pPr>
        <w:pStyle w:val="ab"/>
        <w:shd w:val="clear" w:color="auto" w:fill="FFFFFF"/>
        <w:spacing w:before="0" w:beforeAutospacing="0" w:after="0" w:afterAutospacing="0" w:line="588" w:lineRule="exact"/>
        <w:ind w:firstLineChars="200" w:firstLine="683"/>
        <w:jc w:val="both"/>
        <w:textAlignment w:val="baseline"/>
        <w:rPr>
          <w:rFonts w:ascii="Times New Roman" w:eastAsia="仿宋_GB2312" w:hAnsi="Times New Roman" w:cs="Times New Roman"/>
          <w:b/>
          <w:bCs/>
          <w:kern w:val="2"/>
          <w:sz w:val="34"/>
          <w:szCs w:val="34"/>
        </w:rPr>
      </w:pPr>
      <w:r>
        <w:rPr>
          <w:rFonts w:ascii="Times New Roman" w:eastAsia="仿宋_GB2312" w:hAnsi="Times New Roman" w:cs="Times New Roman" w:hint="eastAsia"/>
          <w:b/>
          <w:bCs/>
          <w:kern w:val="2"/>
          <w:sz w:val="34"/>
          <w:szCs w:val="34"/>
        </w:rPr>
        <w:t>3.2024</w:t>
      </w:r>
      <w:r>
        <w:rPr>
          <w:rFonts w:ascii="Times New Roman" w:eastAsia="仿宋_GB2312" w:hAnsi="Times New Roman" w:cs="Times New Roman" w:hint="eastAsia"/>
          <w:b/>
          <w:bCs/>
          <w:kern w:val="2"/>
          <w:sz w:val="34"/>
          <w:szCs w:val="34"/>
        </w:rPr>
        <w:t>年财政拨款安排的“三公”经费支出决算情况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全镇</w:t>
      </w:r>
      <w:r>
        <w:rPr>
          <w:rFonts w:eastAsia="方正仿宋简体" w:hint="eastAsia"/>
          <w:sz w:val="34"/>
          <w:szCs w:val="34"/>
        </w:rPr>
        <w:t>2024</w:t>
      </w:r>
      <w:r>
        <w:rPr>
          <w:rFonts w:eastAsia="方正仿宋简体" w:hint="eastAsia"/>
          <w:sz w:val="34"/>
          <w:szCs w:val="34"/>
        </w:rPr>
        <w:t>年财政拨款安排的“三公”经费支出决算</w:t>
      </w:r>
      <w:r>
        <w:rPr>
          <w:rFonts w:eastAsia="方正仿宋简体" w:hint="eastAsia"/>
          <w:sz w:val="34"/>
          <w:szCs w:val="34"/>
        </w:rPr>
        <w:t>8.38</w:t>
      </w:r>
      <w:r>
        <w:rPr>
          <w:rFonts w:eastAsia="方正仿宋简体" w:hint="eastAsia"/>
          <w:sz w:val="34"/>
          <w:szCs w:val="34"/>
        </w:rPr>
        <w:t>万元，其中：因公出国（境）费</w:t>
      </w:r>
      <w:r>
        <w:rPr>
          <w:rFonts w:eastAsia="方正仿宋简体" w:hint="eastAsia"/>
          <w:sz w:val="34"/>
          <w:szCs w:val="34"/>
        </w:rPr>
        <w:t>7.29</w:t>
      </w:r>
      <w:r>
        <w:rPr>
          <w:rFonts w:eastAsia="方正仿宋简体" w:hint="eastAsia"/>
          <w:sz w:val="34"/>
          <w:szCs w:val="34"/>
        </w:rPr>
        <w:t>万元，公务用车购置费</w:t>
      </w:r>
      <w:r>
        <w:rPr>
          <w:rFonts w:eastAsia="方正仿宋简体" w:hint="eastAsia"/>
          <w:sz w:val="34"/>
          <w:szCs w:val="34"/>
        </w:rPr>
        <w:t>0</w:t>
      </w:r>
      <w:r>
        <w:rPr>
          <w:rFonts w:eastAsia="方正仿宋简体" w:hint="eastAsia"/>
          <w:sz w:val="34"/>
          <w:szCs w:val="34"/>
        </w:rPr>
        <w:t>万元，公务用车运行维护费</w:t>
      </w:r>
      <w:r>
        <w:rPr>
          <w:rFonts w:eastAsia="方正仿宋简体" w:hint="eastAsia"/>
          <w:sz w:val="34"/>
          <w:szCs w:val="34"/>
        </w:rPr>
        <w:t>1.09</w:t>
      </w:r>
      <w:r>
        <w:rPr>
          <w:rFonts w:eastAsia="方正仿宋简体" w:hint="eastAsia"/>
          <w:sz w:val="34"/>
          <w:szCs w:val="34"/>
        </w:rPr>
        <w:t>万元，公务接待费</w:t>
      </w:r>
      <w:r>
        <w:rPr>
          <w:rFonts w:eastAsia="方正仿宋简体" w:hint="eastAsia"/>
          <w:sz w:val="34"/>
          <w:szCs w:val="34"/>
        </w:rPr>
        <w:t>0</w:t>
      </w:r>
      <w:r>
        <w:rPr>
          <w:rFonts w:eastAsia="方正仿宋简体" w:hint="eastAsia"/>
          <w:sz w:val="34"/>
          <w:szCs w:val="34"/>
        </w:rPr>
        <w:t>万元。</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（二）</w:t>
      </w:r>
      <w:r>
        <w:rPr>
          <w:rFonts w:ascii="Times New Roman" w:eastAsia="楷体_GB2312" w:hAnsi="Times New Roman" w:cs="楷体_GB2312" w:hint="eastAsia"/>
          <w:kern w:val="2"/>
          <w:sz w:val="34"/>
          <w:szCs w:val="34"/>
        </w:rPr>
        <w:t>2024</w:t>
      </w:r>
      <w:r>
        <w:rPr>
          <w:rFonts w:ascii="Times New Roman" w:eastAsia="楷体_GB2312" w:hAnsi="Times New Roman" w:cs="楷体_GB2312" w:hint="eastAsia"/>
          <w:kern w:val="2"/>
          <w:sz w:val="34"/>
          <w:szCs w:val="34"/>
        </w:rPr>
        <w:t>年政府性基金预算收支决算情况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政府性基金预算收入</w:t>
      </w:r>
      <w:r>
        <w:rPr>
          <w:rFonts w:eastAsia="方正仿宋简体" w:hint="eastAsia"/>
          <w:sz w:val="34"/>
          <w:szCs w:val="34"/>
        </w:rPr>
        <w:t>24633</w:t>
      </w:r>
      <w:r>
        <w:rPr>
          <w:rFonts w:eastAsia="方正仿宋简体" w:hint="eastAsia"/>
          <w:sz w:val="34"/>
          <w:szCs w:val="34"/>
        </w:rPr>
        <w:t>万元，同比减少</w:t>
      </w:r>
      <w:r>
        <w:rPr>
          <w:rFonts w:eastAsia="方正仿宋简体" w:hint="eastAsia"/>
          <w:sz w:val="34"/>
          <w:szCs w:val="34"/>
        </w:rPr>
        <w:t>44%</w:t>
      </w:r>
      <w:r>
        <w:rPr>
          <w:rFonts w:eastAsia="方正仿宋简体" w:hint="eastAsia"/>
          <w:sz w:val="34"/>
          <w:szCs w:val="34"/>
        </w:rPr>
        <w:t>，主要原因是</w:t>
      </w:r>
      <w:r>
        <w:rPr>
          <w:rFonts w:eastAsia="方正仿宋简体" w:hint="eastAsia"/>
          <w:sz w:val="34"/>
          <w:szCs w:val="34"/>
        </w:rPr>
        <w:t>2023</w:t>
      </w:r>
      <w:r>
        <w:rPr>
          <w:rFonts w:eastAsia="方正仿宋简体" w:hint="eastAsia"/>
          <w:sz w:val="34"/>
          <w:szCs w:val="34"/>
        </w:rPr>
        <w:t>年示范镇建设项目区级补助收入较大，相应减少</w:t>
      </w:r>
      <w:r>
        <w:rPr>
          <w:rFonts w:eastAsia="方正仿宋简体" w:hint="eastAsia"/>
          <w:sz w:val="34"/>
          <w:szCs w:val="34"/>
        </w:rPr>
        <w:t>2024</w:t>
      </w:r>
      <w:r>
        <w:rPr>
          <w:rFonts w:eastAsia="方正仿宋简体" w:hint="eastAsia"/>
          <w:sz w:val="34"/>
          <w:szCs w:val="34"/>
        </w:rPr>
        <w:t>年示范镇建设项目区级补助收入，上年结余</w:t>
      </w:r>
      <w:r>
        <w:rPr>
          <w:rFonts w:eastAsia="方正仿宋简体" w:hint="eastAsia"/>
          <w:sz w:val="34"/>
          <w:szCs w:val="34"/>
        </w:rPr>
        <w:t>42864</w:t>
      </w:r>
      <w:r>
        <w:rPr>
          <w:rFonts w:eastAsia="方正仿宋简体" w:hint="eastAsia"/>
          <w:sz w:val="34"/>
          <w:szCs w:val="34"/>
        </w:rPr>
        <w:t>万元，政府性基金预算总财力为</w:t>
      </w:r>
      <w:r>
        <w:rPr>
          <w:rFonts w:eastAsia="方正仿宋简体" w:hint="eastAsia"/>
          <w:sz w:val="34"/>
          <w:szCs w:val="34"/>
        </w:rPr>
        <w:t>67497</w:t>
      </w:r>
      <w:r>
        <w:rPr>
          <w:rFonts w:eastAsia="方正仿宋简体" w:hint="eastAsia"/>
          <w:sz w:val="34"/>
          <w:szCs w:val="34"/>
        </w:rPr>
        <w:t>万元。上解区级支出</w:t>
      </w:r>
      <w:r>
        <w:rPr>
          <w:rFonts w:eastAsia="方正仿宋简体" w:hint="eastAsia"/>
          <w:sz w:val="34"/>
          <w:szCs w:val="34"/>
        </w:rPr>
        <w:t>27830</w:t>
      </w:r>
      <w:r>
        <w:rPr>
          <w:rFonts w:eastAsia="方正仿宋简体" w:hint="eastAsia"/>
          <w:sz w:val="34"/>
          <w:szCs w:val="34"/>
        </w:rPr>
        <w:t>万元，政府性基金预算可支配财力为</w:t>
      </w:r>
      <w:r>
        <w:rPr>
          <w:rFonts w:eastAsia="方正仿宋简体" w:hint="eastAsia"/>
          <w:sz w:val="34"/>
          <w:szCs w:val="34"/>
        </w:rPr>
        <w:t>39667</w:t>
      </w:r>
      <w:r>
        <w:rPr>
          <w:rFonts w:eastAsia="方正仿宋简体" w:hint="eastAsia"/>
          <w:sz w:val="34"/>
          <w:szCs w:val="34"/>
        </w:rPr>
        <w:t>万元。政府性基金支出</w:t>
      </w:r>
      <w:r>
        <w:rPr>
          <w:rFonts w:eastAsia="方正仿宋简体" w:hint="eastAsia"/>
          <w:sz w:val="34"/>
          <w:szCs w:val="34"/>
        </w:rPr>
        <w:t>30566</w:t>
      </w:r>
      <w:r>
        <w:rPr>
          <w:rFonts w:eastAsia="方正仿宋简体" w:hint="eastAsia"/>
          <w:sz w:val="34"/>
          <w:szCs w:val="34"/>
        </w:rPr>
        <w:t>万元，调出资金</w:t>
      </w:r>
      <w:r>
        <w:rPr>
          <w:rFonts w:eastAsia="方正仿宋简体" w:hint="eastAsia"/>
          <w:sz w:val="34"/>
          <w:szCs w:val="34"/>
        </w:rPr>
        <w:t>7101</w:t>
      </w:r>
      <w:r>
        <w:rPr>
          <w:rFonts w:eastAsia="方正仿宋简体" w:hint="eastAsia"/>
          <w:sz w:val="34"/>
          <w:szCs w:val="34"/>
        </w:rPr>
        <w:t>万元，政府性基金结余为</w:t>
      </w:r>
      <w:r>
        <w:rPr>
          <w:rFonts w:eastAsia="方正仿宋简体" w:hint="eastAsia"/>
          <w:sz w:val="34"/>
          <w:szCs w:val="34"/>
        </w:rPr>
        <w:t>2000</w:t>
      </w:r>
      <w:r>
        <w:rPr>
          <w:rFonts w:eastAsia="方正仿宋简体" w:hint="eastAsia"/>
          <w:sz w:val="34"/>
          <w:szCs w:val="34"/>
        </w:rPr>
        <w:t>万元，其中：专项债券</w:t>
      </w:r>
      <w:r>
        <w:rPr>
          <w:rFonts w:eastAsia="方正仿宋简体" w:hint="eastAsia"/>
          <w:sz w:val="34"/>
          <w:szCs w:val="34"/>
        </w:rPr>
        <w:t>2000</w:t>
      </w:r>
      <w:r>
        <w:rPr>
          <w:rFonts w:eastAsia="方正仿宋简体" w:hint="eastAsia"/>
          <w:sz w:val="34"/>
          <w:szCs w:val="34"/>
        </w:rPr>
        <w:t>万元，全部为项目结转资金。</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政府性基金预算支出</w:t>
      </w:r>
      <w:r>
        <w:rPr>
          <w:rFonts w:eastAsia="方正仿宋简体" w:hint="eastAsia"/>
          <w:sz w:val="34"/>
          <w:szCs w:val="34"/>
        </w:rPr>
        <w:t>30566</w:t>
      </w:r>
      <w:r>
        <w:rPr>
          <w:rFonts w:eastAsia="方正仿宋简体" w:hint="eastAsia"/>
          <w:sz w:val="34"/>
          <w:szCs w:val="34"/>
        </w:rPr>
        <w:t>万元，主要包括：</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1</w:t>
      </w:r>
      <w:r>
        <w:rPr>
          <w:rFonts w:eastAsia="方正仿宋简体" w:hint="eastAsia"/>
          <w:sz w:val="34"/>
          <w:szCs w:val="34"/>
        </w:rPr>
        <w:t>、城乡社区支出</w:t>
      </w:r>
      <w:r>
        <w:rPr>
          <w:rFonts w:eastAsia="方正仿宋简体" w:hint="eastAsia"/>
          <w:sz w:val="34"/>
          <w:szCs w:val="34"/>
        </w:rPr>
        <w:t>14758</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2</w:t>
      </w:r>
      <w:r>
        <w:rPr>
          <w:rFonts w:eastAsia="方正仿宋简体" w:hint="eastAsia"/>
          <w:sz w:val="34"/>
          <w:szCs w:val="34"/>
        </w:rPr>
        <w:t>、其他支出</w:t>
      </w:r>
      <w:r>
        <w:rPr>
          <w:rFonts w:eastAsia="方正仿宋简体" w:hint="eastAsia"/>
          <w:sz w:val="34"/>
          <w:szCs w:val="34"/>
        </w:rPr>
        <w:t>8001</w:t>
      </w:r>
      <w:r>
        <w:rPr>
          <w:rFonts w:eastAsia="方正仿宋简体" w:hint="eastAsia"/>
          <w:sz w:val="34"/>
          <w:szCs w:val="34"/>
        </w:rPr>
        <w:t>万元，主要包括：彩票公益金安排的</w:t>
      </w:r>
      <w:r>
        <w:rPr>
          <w:rFonts w:eastAsia="方正仿宋简体" w:hint="eastAsia"/>
          <w:sz w:val="34"/>
          <w:szCs w:val="34"/>
        </w:rPr>
        <w:lastRenderedPageBreak/>
        <w:t>支出</w:t>
      </w:r>
      <w:r>
        <w:rPr>
          <w:rFonts w:eastAsia="方正仿宋简体" w:hint="eastAsia"/>
          <w:sz w:val="34"/>
          <w:szCs w:val="34"/>
        </w:rPr>
        <w:t>1</w:t>
      </w:r>
      <w:r>
        <w:rPr>
          <w:rFonts w:eastAsia="方正仿宋简体" w:hint="eastAsia"/>
          <w:sz w:val="34"/>
          <w:szCs w:val="34"/>
        </w:rPr>
        <w:t>万元，其他地方自行试点项目收益专项债券收入安排的支出</w:t>
      </w:r>
      <w:r>
        <w:rPr>
          <w:rFonts w:eastAsia="方正仿宋简体" w:hint="eastAsia"/>
          <w:sz w:val="34"/>
          <w:szCs w:val="34"/>
        </w:rPr>
        <w:t>8000</w:t>
      </w:r>
      <w:r>
        <w:rPr>
          <w:rFonts w:eastAsia="方正仿宋简体" w:hint="eastAsia"/>
          <w:sz w:val="34"/>
          <w:szCs w:val="34"/>
        </w:rPr>
        <w:t>万元（南站科技商务区规划科技中心</w:t>
      </w:r>
      <w:r>
        <w:rPr>
          <w:rFonts w:eastAsia="方正仿宋简体" w:hint="eastAsia"/>
          <w:sz w:val="34"/>
          <w:szCs w:val="34"/>
        </w:rPr>
        <w:t>8000</w:t>
      </w:r>
      <w:r>
        <w:rPr>
          <w:rFonts w:eastAsia="方正仿宋简体" w:hint="eastAsia"/>
          <w:sz w:val="34"/>
          <w:szCs w:val="34"/>
        </w:rPr>
        <w:t>万元）；</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3</w:t>
      </w:r>
      <w:r>
        <w:rPr>
          <w:rFonts w:eastAsia="方正仿宋简体" w:hint="eastAsia"/>
          <w:sz w:val="34"/>
          <w:szCs w:val="34"/>
        </w:rPr>
        <w:t>、债务付息支出</w:t>
      </w:r>
      <w:r>
        <w:rPr>
          <w:rFonts w:eastAsia="方正仿宋简体" w:hint="eastAsia"/>
          <w:sz w:val="34"/>
          <w:szCs w:val="34"/>
        </w:rPr>
        <w:t>7807</w:t>
      </w:r>
      <w:r>
        <w:rPr>
          <w:rFonts w:eastAsia="方正仿宋简体" w:hint="eastAsia"/>
          <w:sz w:val="34"/>
          <w:szCs w:val="34"/>
        </w:rPr>
        <w:t>万元。</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（三）</w:t>
      </w:r>
      <w:r>
        <w:rPr>
          <w:rFonts w:ascii="Times New Roman" w:eastAsia="楷体_GB2312" w:hAnsi="Times New Roman" w:cs="楷体_GB2312" w:hint="eastAsia"/>
          <w:kern w:val="2"/>
          <w:sz w:val="34"/>
          <w:szCs w:val="34"/>
        </w:rPr>
        <w:t>2024</w:t>
      </w:r>
      <w:r>
        <w:rPr>
          <w:rFonts w:ascii="Times New Roman" w:eastAsia="楷体_GB2312" w:hAnsi="Times New Roman" w:cs="楷体_GB2312" w:hint="eastAsia"/>
          <w:kern w:val="2"/>
          <w:sz w:val="34"/>
          <w:szCs w:val="34"/>
        </w:rPr>
        <w:t>年国有资本经营预算收支决算情况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国有资本经营预算收入为</w:t>
      </w:r>
      <w:r>
        <w:rPr>
          <w:rFonts w:eastAsia="方正仿宋简体" w:hint="eastAsia"/>
          <w:sz w:val="34"/>
          <w:szCs w:val="34"/>
        </w:rPr>
        <w:t>50</w:t>
      </w:r>
      <w:r>
        <w:rPr>
          <w:rFonts w:eastAsia="方正仿宋简体" w:hint="eastAsia"/>
          <w:sz w:val="34"/>
          <w:szCs w:val="34"/>
        </w:rPr>
        <w:t>万元，均为区级补助收入，国有资本经营预算支出</w:t>
      </w:r>
      <w:r>
        <w:rPr>
          <w:rFonts w:eastAsia="方正仿宋简体" w:hint="eastAsia"/>
          <w:sz w:val="34"/>
          <w:szCs w:val="34"/>
        </w:rPr>
        <w:t>43</w:t>
      </w:r>
      <w:r>
        <w:rPr>
          <w:rFonts w:eastAsia="方正仿宋简体" w:hint="eastAsia"/>
          <w:sz w:val="34"/>
          <w:szCs w:val="34"/>
        </w:rPr>
        <w:t>万元，财力与支出相抵，全镇国有资本经营预算年终项目结转为</w:t>
      </w:r>
      <w:r>
        <w:rPr>
          <w:rFonts w:eastAsia="方正仿宋简体" w:hint="eastAsia"/>
          <w:sz w:val="34"/>
          <w:szCs w:val="34"/>
        </w:rPr>
        <w:t>7</w:t>
      </w:r>
      <w:r>
        <w:rPr>
          <w:rFonts w:eastAsia="方正仿宋简体" w:hint="eastAsia"/>
          <w:sz w:val="34"/>
          <w:szCs w:val="34"/>
        </w:rPr>
        <w:t>万元。</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（四）</w:t>
      </w:r>
      <w:r>
        <w:rPr>
          <w:rFonts w:ascii="Times New Roman" w:eastAsia="楷体_GB2312" w:hAnsi="Times New Roman" w:cs="楷体_GB2312" w:hint="eastAsia"/>
          <w:kern w:val="2"/>
          <w:sz w:val="34"/>
          <w:szCs w:val="34"/>
        </w:rPr>
        <w:t>2024</w:t>
      </w:r>
      <w:r>
        <w:rPr>
          <w:rFonts w:ascii="Times New Roman" w:eastAsia="楷体_GB2312" w:hAnsi="Times New Roman" w:cs="楷体_GB2312" w:hint="eastAsia"/>
          <w:kern w:val="2"/>
          <w:sz w:val="34"/>
          <w:szCs w:val="34"/>
        </w:rPr>
        <w:t>年转移支付决算情况</w:t>
      </w:r>
    </w:p>
    <w:p w:rsidR="00AB27F8" w:rsidRDefault="00B97B80">
      <w:pPr>
        <w:spacing w:line="588" w:lineRule="exact"/>
        <w:ind w:firstLineChars="200" w:firstLine="680"/>
        <w:rPr>
          <w:rFonts w:eastAsia="方正仿宋简体"/>
          <w:sz w:val="34"/>
          <w:szCs w:val="34"/>
        </w:rPr>
      </w:pPr>
      <w:r>
        <w:rPr>
          <w:rFonts w:eastAsia="方正仿宋简体" w:hint="eastAsia"/>
          <w:sz w:val="34"/>
          <w:szCs w:val="34"/>
        </w:rPr>
        <w:t>一般公共预算方面，区级对我镇转移支付</w:t>
      </w:r>
      <w:r>
        <w:rPr>
          <w:rFonts w:eastAsia="方正仿宋简体" w:hint="eastAsia"/>
          <w:sz w:val="34"/>
          <w:szCs w:val="34"/>
        </w:rPr>
        <w:t>23570</w:t>
      </w:r>
      <w:r>
        <w:rPr>
          <w:rFonts w:eastAsia="方正仿宋简体" w:hint="eastAsia"/>
          <w:sz w:val="34"/>
          <w:szCs w:val="34"/>
        </w:rPr>
        <w:t>万元，较去年增加</w:t>
      </w:r>
      <w:r>
        <w:rPr>
          <w:rFonts w:eastAsia="方正仿宋简体" w:hint="eastAsia"/>
          <w:sz w:val="34"/>
          <w:szCs w:val="34"/>
        </w:rPr>
        <w:t>6340</w:t>
      </w:r>
      <w:r>
        <w:rPr>
          <w:rFonts w:eastAsia="方正仿宋简体" w:hint="eastAsia"/>
          <w:sz w:val="34"/>
          <w:szCs w:val="34"/>
        </w:rPr>
        <w:t>万元，主要原因是增加了</w:t>
      </w:r>
      <w:r>
        <w:rPr>
          <w:rFonts w:eastAsia="方正仿宋简体" w:hint="eastAsia"/>
          <w:sz w:val="34"/>
          <w:szCs w:val="34"/>
        </w:rPr>
        <w:t>新一批地方政府一般债债券预算。其中：义务教育基本支出补助</w:t>
      </w:r>
      <w:r>
        <w:rPr>
          <w:rFonts w:eastAsia="方正仿宋简体" w:hint="eastAsia"/>
          <w:sz w:val="34"/>
          <w:szCs w:val="34"/>
        </w:rPr>
        <w:t>6000</w:t>
      </w:r>
      <w:r>
        <w:rPr>
          <w:rFonts w:eastAsia="方正仿宋简体" w:hint="eastAsia"/>
          <w:sz w:val="34"/>
          <w:szCs w:val="34"/>
        </w:rPr>
        <w:t>万元、其他一般性转移支付补助</w:t>
      </w:r>
      <w:r>
        <w:rPr>
          <w:rFonts w:eastAsia="方正仿宋简体" w:hint="eastAsia"/>
          <w:sz w:val="34"/>
          <w:szCs w:val="34"/>
        </w:rPr>
        <w:t>3029</w:t>
      </w:r>
      <w:r>
        <w:rPr>
          <w:rFonts w:eastAsia="方正仿宋简体" w:hint="eastAsia"/>
          <w:sz w:val="34"/>
          <w:szCs w:val="34"/>
        </w:rPr>
        <w:t>万元，共同财政事权转移支付收入</w:t>
      </w:r>
      <w:r>
        <w:rPr>
          <w:rFonts w:eastAsia="方正仿宋简体" w:hint="eastAsia"/>
          <w:sz w:val="34"/>
          <w:szCs w:val="34"/>
        </w:rPr>
        <w:t>2095</w:t>
      </w:r>
      <w:r>
        <w:rPr>
          <w:rFonts w:eastAsia="方正仿宋简体" w:hint="eastAsia"/>
          <w:sz w:val="34"/>
          <w:szCs w:val="34"/>
        </w:rPr>
        <w:t>万元，专项转移支付收入</w:t>
      </w:r>
      <w:r>
        <w:rPr>
          <w:rFonts w:eastAsia="方正仿宋简体" w:hint="eastAsia"/>
          <w:sz w:val="34"/>
          <w:szCs w:val="34"/>
        </w:rPr>
        <w:t>11988</w:t>
      </w:r>
      <w:r>
        <w:rPr>
          <w:rFonts w:eastAsia="方正仿宋简体" w:hint="eastAsia"/>
          <w:sz w:val="34"/>
          <w:szCs w:val="34"/>
        </w:rPr>
        <w:t>万元，暂未下达转移支付收入</w:t>
      </w:r>
      <w:r>
        <w:rPr>
          <w:rFonts w:eastAsia="方正仿宋简体" w:hint="eastAsia"/>
          <w:sz w:val="34"/>
          <w:szCs w:val="34"/>
        </w:rPr>
        <w:t>458</w:t>
      </w:r>
      <w:r>
        <w:rPr>
          <w:rFonts w:eastAsia="方正仿宋简体" w:hint="eastAsia"/>
          <w:sz w:val="34"/>
          <w:szCs w:val="34"/>
        </w:rPr>
        <w:t>万元。上解区级支出</w:t>
      </w:r>
      <w:r>
        <w:rPr>
          <w:rFonts w:eastAsia="方正仿宋简体" w:hint="eastAsia"/>
          <w:sz w:val="34"/>
          <w:szCs w:val="34"/>
        </w:rPr>
        <w:t>15529</w:t>
      </w:r>
      <w:r>
        <w:rPr>
          <w:rFonts w:eastAsia="方正仿宋简体" w:hint="eastAsia"/>
          <w:sz w:val="34"/>
          <w:szCs w:val="34"/>
        </w:rPr>
        <w:t>万元，其中：专项上解</w:t>
      </w:r>
      <w:r>
        <w:rPr>
          <w:rFonts w:eastAsia="方正仿宋简体" w:hint="eastAsia"/>
          <w:sz w:val="34"/>
          <w:szCs w:val="34"/>
        </w:rPr>
        <w:t>500</w:t>
      </w:r>
      <w:r>
        <w:rPr>
          <w:rFonts w:eastAsia="方正仿宋简体" w:hint="eastAsia"/>
          <w:sz w:val="34"/>
          <w:szCs w:val="34"/>
        </w:rPr>
        <w:t>万元，一般性上解支出</w:t>
      </w:r>
      <w:r>
        <w:rPr>
          <w:rFonts w:eastAsia="方正仿宋简体" w:hint="eastAsia"/>
          <w:sz w:val="34"/>
          <w:szCs w:val="34"/>
        </w:rPr>
        <w:t>15029</w:t>
      </w:r>
      <w:r>
        <w:rPr>
          <w:rFonts w:eastAsia="方正仿宋简体" w:hint="eastAsia"/>
          <w:sz w:val="34"/>
          <w:szCs w:val="34"/>
        </w:rPr>
        <w:t>万元。</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（五）</w:t>
      </w:r>
      <w:r>
        <w:rPr>
          <w:rFonts w:ascii="Times New Roman" w:eastAsia="楷体_GB2312" w:hAnsi="Times New Roman" w:cs="楷体_GB2312" w:hint="eastAsia"/>
          <w:kern w:val="2"/>
          <w:sz w:val="34"/>
          <w:szCs w:val="34"/>
        </w:rPr>
        <w:t>2024</w:t>
      </w:r>
      <w:r>
        <w:rPr>
          <w:rFonts w:ascii="Times New Roman" w:eastAsia="楷体_GB2312" w:hAnsi="Times New Roman" w:cs="楷体_GB2312" w:hint="eastAsia"/>
          <w:kern w:val="2"/>
          <w:sz w:val="34"/>
          <w:szCs w:val="34"/>
        </w:rPr>
        <w:t>年政府专项债券情况</w:t>
      </w:r>
    </w:p>
    <w:p w:rsidR="00AB27F8" w:rsidRDefault="00B97B80">
      <w:pPr>
        <w:pStyle w:val="2"/>
        <w:spacing w:line="588" w:lineRule="exact"/>
        <w:ind w:leftChars="0" w:left="0" w:firstLine="680"/>
        <w:rPr>
          <w:szCs w:val="34"/>
        </w:rPr>
      </w:pPr>
      <w:r>
        <w:rPr>
          <w:rFonts w:hint="eastAsia"/>
          <w:szCs w:val="34"/>
        </w:rPr>
        <w:t>政府专项债券上年结转</w:t>
      </w:r>
      <w:r>
        <w:rPr>
          <w:rFonts w:hint="eastAsia"/>
          <w:szCs w:val="34"/>
        </w:rPr>
        <w:t>10000</w:t>
      </w:r>
      <w:r>
        <w:rPr>
          <w:rFonts w:hint="eastAsia"/>
          <w:szCs w:val="34"/>
        </w:rPr>
        <w:t>万元，均为南站科技商务区规划科技中心项目资金。</w:t>
      </w:r>
      <w:r>
        <w:rPr>
          <w:rFonts w:hint="eastAsia"/>
          <w:szCs w:val="34"/>
        </w:rPr>
        <w:t>2024</w:t>
      </w:r>
      <w:r>
        <w:rPr>
          <w:rFonts w:hint="eastAsia"/>
          <w:szCs w:val="34"/>
        </w:rPr>
        <w:t>年支出</w:t>
      </w:r>
      <w:r>
        <w:rPr>
          <w:rFonts w:hint="eastAsia"/>
          <w:szCs w:val="34"/>
        </w:rPr>
        <w:t>8000</w:t>
      </w:r>
      <w:r>
        <w:rPr>
          <w:rFonts w:hint="eastAsia"/>
          <w:szCs w:val="34"/>
        </w:rPr>
        <w:t>万元，结转下年</w:t>
      </w:r>
      <w:r>
        <w:rPr>
          <w:rFonts w:hint="eastAsia"/>
          <w:szCs w:val="34"/>
        </w:rPr>
        <w:t>2000</w:t>
      </w:r>
      <w:r>
        <w:rPr>
          <w:rFonts w:hint="eastAsia"/>
          <w:szCs w:val="34"/>
        </w:rPr>
        <w:t>万元。</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（六）其他情况说明</w:t>
      </w:r>
    </w:p>
    <w:p w:rsidR="00AB27F8" w:rsidRDefault="00B97B80">
      <w:pPr>
        <w:pStyle w:val="2"/>
        <w:spacing w:after="0" w:line="588" w:lineRule="exact"/>
        <w:ind w:leftChars="0" w:left="0" w:firstLine="680"/>
        <w:rPr>
          <w:szCs w:val="34"/>
        </w:rPr>
      </w:pPr>
      <w:r>
        <w:rPr>
          <w:rFonts w:hint="eastAsia"/>
          <w:szCs w:val="34"/>
        </w:rPr>
        <w:t>财政局历年应下达未下达指标共计</w:t>
      </w:r>
      <w:r>
        <w:rPr>
          <w:rFonts w:hint="eastAsia"/>
          <w:szCs w:val="34"/>
        </w:rPr>
        <w:t>910</w:t>
      </w:r>
      <w:r>
        <w:rPr>
          <w:rFonts w:hint="eastAsia"/>
          <w:szCs w:val="34"/>
        </w:rPr>
        <w:t>32</w:t>
      </w:r>
      <w:r>
        <w:rPr>
          <w:rFonts w:hint="eastAsia"/>
          <w:szCs w:val="34"/>
        </w:rPr>
        <w:t>万元，明细如下：绿色发展基金</w:t>
      </w:r>
      <w:r>
        <w:rPr>
          <w:rFonts w:hint="eastAsia"/>
          <w:szCs w:val="34"/>
        </w:rPr>
        <w:t>2686</w:t>
      </w:r>
      <w:r>
        <w:rPr>
          <w:rFonts w:hint="eastAsia"/>
          <w:szCs w:val="34"/>
        </w:rPr>
        <w:t>万元，教育人员经费补助及教育附</w:t>
      </w:r>
      <w:r>
        <w:rPr>
          <w:rFonts w:hint="eastAsia"/>
          <w:szCs w:val="34"/>
        </w:rPr>
        <w:lastRenderedPageBreak/>
        <w:t>加</w:t>
      </w:r>
      <w:r>
        <w:rPr>
          <w:rFonts w:hint="eastAsia"/>
          <w:szCs w:val="34"/>
        </w:rPr>
        <w:t>2240</w:t>
      </w:r>
      <w:r>
        <w:rPr>
          <w:rFonts w:hint="eastAsia"/>
          <w:szCs w:val="34"/>
        </w:rPr>
        <w:t>万元，社会综合治理基金</w:t>
      </w:r>
      <w:r>
        <w:rPr>
          <w:rFonts w:hint="eastAsia"/>
          <w:szCs w:val="34"/>
        </w:rPr>
        <w:t>7723</w:t>
      </w:r>
      <w:r>
        <w:rPr>
          <w:rFonts w:hint="eastAsia"/>
          <w:szCs w:val="34"/>
        </w:rPr>
        <w:t>万元，营改增基数返还</w:t>
      </w:r>
      <w:r>
        <w:rPr>
          <w:rFonts w:hint="eastAsia"/>
          <w:szCs w:val="34"/>
        </w:rPr>
        <w:t>5812</w:t>
      </w:r>
      <w:r>
        <w:rPr>
          <w:rFonts w:hint="eastAsia"/>
          <w:szCs w:val="34"/>
        </w:rPr>
        <w:t>万元，空气质量保障经费</w:t>
      </w:r>
      <w:r>
        <w:rPr>
          <w:rFonts w:hint="eastAsia"/>
          <w:szCs w:val="34"/>
        </w:rPr>
        <w:t>8000</w:t>
      </w:r>
      <w:r>
        <w:rPr>
          <w:rFonts w:hint="eastAsia"/>
          <w:szCs w:val="34"/>
        </w:rPr>
        <w:t>万元，盘活资金</w:t>
      </w:r>
      <w:r>
        <w:rPr>
          <w:rFonts w:hint="eastAsia"/>
          <w:szCs w:val="34"/>
        </w:rPr>
        <w:t>50000</w:t>
      </w:r>
      <w:r>
        <w:rPr>
          <w:rFonts w:hint="eastAsia"/>
          <w:szCs w:val="34"/>
        </w:rPr>
        <w:t>万元，以上共</w:t>
      </w:r>
      <w:r>
        <w:rPr>
          <w:rFonts w:hint="eastAsia"/>
          <w:szCs w:val="34"/>
        </w:rPr>
        <w:t>76461</w:t>
      </w:r>
      <w:r>
        <w:rPr>
          <w:rFonts w:hint="eastAsia"/>
          <w:szCs w:val="34"/>
        </w:rPr>
        <w:t>万元，</w:t>
      </w:r>
      <w:r>
        <w:rPr>
          <w:rFonts w:hint="eastAsia"/>
          <w:szCs w:val="34"/>
        </w:rPr>
        <w:t>2024</w:t>
      </w:r>
      <w:r>
        <w:rPr>
          <w:rFonts w:hint="eastAsia"/>
          <w:szCs w:val="34"/>
        </w:rPr>
        <w:t>年已下达</w:t>
      </w:r>
      <w:r>
        <w:rPr>
          <w:rFonts w:hint="eastAsia"/>
          <w:szCs w:val="34"/>
        </w:rPr>
        <w:t>458</w:t>
      </w:r>
      <w:r>
        <w:rPr>
          <w:rFonts w:hint="eastAsia"/>
          <w:szCs w:val="34"/>
        </w:rPr>
        <w:t>万元，同时新增应下达未下达财力</w:t>
      </w:r>
      <w:r>
        <w:rPr>
          <w:rFonts w:hint="eastAsia"/>
          <w:szCs w:val="34"/>
        </w:rPr>
        <w:t>15029</w:t>
      </w:r>
      <w:r>
        <w:rPr>
          <w:rFonts w:hint="eastAsia"/>
          <w:szCs w:val="34"/>
        </w:rPr>
        <w:t>万元。</w:t>
      </w:r>
    </w:p>
    <w:p w:rsidR="00AB27F8" w:rsidRDefault="00B97B80">
      <w:pPr>
        <w:overflowPunct w:val="0"/>
        <w:spacing w:line="588" w:lineRule="exact"/>
        <w:ind w:firstLineChars="200" w:firstLine="680"/>
        <w:rPr>
          <w:rFonts w:eastAsia="黑体" w:cs="黑体"/>
          <w:sz w:val="34"/>
          <w:szCs w:val="34"/>
        </w:rPr>
      </w:pPr>
      <w:r>
        <w:rPr>
          <w:rFonts w:eastAsia="黑体" w:cs="黑体" w:hint="eastAsia"/>
          <w:sz w:val="34"/>
          <w:szCs w:val="34"/>
        </w:rPr>
        <w:t>二、</w:t>
      </w:r>
      <w:r>
        <w:rPr>
          <w:rFonts w:eastAsia="黑体" w:cs="黑体" w:hint="eastAsia"/>
          <w:sz w:val="34"/>
          <w:szCs w:val="34"/>
        </w:rPr>
        <w:t>2024</w:t>
      </w:r>
      <w:r>
        <w:rPr>
          <w:rFonts w:eastAsia="黑体" w:cs="黑体" w:hint="eastAsia"/>
          <w:sz w:val="34"/>
          <w:szCs w:val="34"/>
        </w:rPr>
        <w:t>年预算执行特点和财政主要工作情况</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（一）积极落实财税政策</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坚决杜绝无预算支出，严格把控财政资金的使用，保障财政预算一化系统正常运行。</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1.</w:t>
      </w:r>
      <w:r>
        <w:rPr>
          <w:rFonts w:eastAsia="方正仿宋简体" w:hint="eastAsia"/>
          <w:sz w:val="34"/>
          <w:szCs w:val="34"/>
        </w:rPr>
        <w:t>面对严峻的收入形势，我镇坚决贯彻扎实稳住经济的工作要求，切实保障“三保”</w:t>
      </w:r>
      <w:r>
        <w:rPr>
          <w:rFonts w:eastAsia="方正仿宋简体" w:hint="eastAsia"/>
          <w:sz w:val="34"/>
          <w:szCs w:val="34"/>
        </w:rPr>
        <w:t>和重点项目支出，大力压缩一般性支出和项目支出，各项指标均在合理区间内运行。</w:t>
      </w:r>
    </w:p>
    <w:p w:rsidR="00AB27F8" w:rsidRDefault="00B97B80">
      <w:pPr>
        <w:pStyle w:val="2"/>
        <w:spacing w:after="0" w:line="588" w:lineRule="exact"/>
        <w:ind w:leftChars="0" w:left="0" w:firstLine="680"/>
        <w:rPr>
          <w:szCs w:val="34"/>
        </w:rPr>
      </w:pPr>
      <w:r>
        <w:rPr>
          <w:rFonts w:hint="eastAsia"/>
          <w:szCs w:val="34"/>
        </w:rPr>
        <w:t>2.</w:t>
      </w:r>
      <w:r>
        <w:rPr>
          <w:rFonts w:hint="eastAsia"/>
          <w:szCs w:val="34"/>
        </w:rPr>
        <w:t>加强预算一体化管理，严格基础信息管理的标准化、规范化、一致性和全面性，加强项目库管理，坚持“先有项目再安排预算”和“资金跟着项目走”。所有支出均录入系统，每一笔预算资金的支出都认真把关。</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（二）严格落实“三保”支出优先保障原则</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始终坚持“三保”支出在财政支出中的第一顺序。强化“三保”支出预算管理，全面落实按照国家及我市保障范围和标准确定的“三保”责任，规范“三保”项目名称、科目、标识填报。</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（三）重点项目保障力度持续加强</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积极落</w:t>
      </w:r>
      <w:r>
        <w:rPr>
          <w:rFonts w:eastAsia="方正仿宋简体" w:hint="eastAsia"/>
          <w:sz w:val="34"/>
          <w:szCs w:val="34"/>
        </w:rPr>
        <w:t>实各项扶残助困政策，困难群众救助补助、残疾</w:t>
      </w:r>
      <w:r>
        <w:rPr>
          <w:rFonts w:eastAsia="方正仿宋简体" w:hint="eastAsia"/>
          <w:sz w:val="34"/>
          <w:szCs w:val="34"/>
        </w:rPr>
        <w:lastRenderedPageBreak/>
        <w:t>人生活补贴等各项资金，进一步做好城乡居民基本医疗保险和大病扶贫补助资金保障。同时及时保障农业农村等各项支出，有序推进基本公共卫生服务建设。</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（四）财政改革稳步推进</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1.</w:t>
      </w:r>
      <w:r>
        <w:rPr>
          <w:rFonts w:eastAsia="方正仿宋简体" w:hint="eastAsia"/>
          <w:sz w:val="34"/>
          <w:szCs w:val="34"/>
        </w:rPr>
        <w:t>切实加强预算执行管理。严格实施零基预算管理，全面落实严把支出关口真过紧日子要求，牢牢守住基本民生、基层运转支出底线，全力做好“六稳”“六保”。</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2.</w:t>
      </w:r>
      <w:r>
        <w:rPr>
          <w:rFonts w:eastAsia="方正仿宋简体" w:hint="eastAsia"/>
          <w:sz w:val="34"/>
          <w:szCs w:val="34"/>
        </w:rPr>
        <w:t>继续深化全面预算绩效管理。推进绩效管理有机融入预算管理的各个环节，主动适应新的业务规范和技术标准，预算管理的规范化程度和信息化水平稳步提高。</w:t>
      </w:r>
    </w:p>
    <w:p w:rsidR="00AB27F8" w:rsidRDefault="00B97B80">
      <w:pPr>
        <w:pStyle w:val="ab"/>
        <w:widowControl w:val="0"/>
        <w:shd w:val="clear" w:color="auto" w:fill="FFFFFF"/>
        <w:overflowPunct w:val="0"/>
        <w:spacing w:before="0" w:beforeAutospacing="0" w:after="0" w:afterAutospacing="0" w:line="588" w:lineRule="exact"/>
        <w:ind w:firstLineChars="200" w:firstLine="680"/>
        <w:jc w:val="both"/>
        <w:rPr>
          <w:rFonts w:ascii="Times New Roman" w:eastAsia="楷体_GB2312" w:hAnsi="Times New Roman" w:cs="楷体_GB2312"/>
          <w:kern w:val="2"/>
          <w:sz w:val="34"/>
          <w:szCs w:val="34"/>
        </w:rPr>
      </w:pPr>
      <w:r>
        <w:rPr>
          <w:rFonts w:ascii="Times New Roman" w:eastAsia="楷体_GB2312" w:hAnsi="Times New Roman" w:cs="楷体_GB2312" w:hint="eastAsia"/>
          <w:kern w:val="2"/>
          <w:sz w:val="34"/>
          <w:szCs w:val="34"/>
        </w:rPr>
        <w:t>（五）自觉接受人大和审计监督</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深入贯彻落实《关于人大预算审查监督重点向支出预算和政策拓展的实施意见》、《天津市预算审查监督条例》等文件精神和镇人大有关要求，积极接受人大审查监督和主动向人大代表汇报工作，倾听意见，优化改进预决算编制，并做好解释说明工作，使财政工作更加符合民心民意。</w:t>
      </w:r>
    </w:p>
    <w:p w:rsidR="00AB27F8" w:rsidRDefault="00B97B80">
      <w:pPr>
        <w:overflowPunct w:val="0"/>
        <w:spacing w:line="588" w:lineRule="exact"/>
        <w:ind w:firstLineChars="200" w:firstLine="680"/>
        <w:rPr>
          <w:rFonts w:eastAsia="方正仿宋简体"/>
          <w:sz w:val="34"/>
          <w:szCs w:val="34"/>
        </w:rPr>
      </w:pPr>
      <w:r>
        <w:rPr>
          <w:rFonts w:eastAsia="方正仿宋简体" w:hint="eastAsia"/>
          <w:sz w:val="34"/>
          <w:szCs w:val="34"/>
        </w:rPr>
        <w:t>2024</w:t>
      </w:r>
      <w:r>
        <w:rPr>
          <w:rFonts w:eastAsia="方正仿宋简体" w:hint="eastAsia"/>
          <w:sz w:val="34"/>
          <w:szCs w:val="34"/>
        </w:rPr>
        <w:t>年，在镇党委的正确领导和镇人大的监督支持下，我们按照镇十九届人大八次会议确定的预算任务，坚持兜牢“三保”，调整优化支出结构，加大民生领域投入，加快建立规范透明、标准科学、约束有力的预算制度，圆满完成了财政决算工作任务，为张</w:t>
      </w:r>
      <w:r>
        <w:rPr>
          <w:rFonts w:eastAsia="方正仿宋简体" w:hint="eastAsia"/>
          <w:sz w:val="34"/>
          <w:szCs w:val="34"/>
        </w:rPr>
        <w:t>家窝镇经济社会高质量发展提供有力的支撑。</w:t>
      </w:r>
    </w:p>
    <w:p w:rsidR="00AB27F8" w:rsidRDefault="00AB27F8">
      <w:pPr>
        <w:pStyle w:val="2"/>
        <w:ind w:left="640" w:firstLine="680"/>
        <w:rPr>
          <w:rFonts w:eastAsia="仿宋_GB2312"/>
          <w:szCs w:val="34"/>
        </w:rPr>
      </w:pPr>
    </w:p>
    <w:p w:rsidR="00AB27F8" w:rsidRDefault="00B97B80">
      <w:pPr>
        <w:pStyle w:val="ab"/>
        <w:shd w:val="clear" w:color="auto" w:fill="FFFFFF"/>
        <w:spacing w:before="0" w:beforeAutospacing="0" w:after="0" w:afterAutospacing="0"/>
        <w:ind w:firstLine="69"/>
        <w:jc w:val="center"/>
        <w:textAlignment w:val="baseline"/>
        <w:rPr>
          <w:rFonts w:ascii="Times New Roman" w:eastAsia="仿宋_GB2312" w:hAnsi="Times New Roman" w:cs="Times New Roman"/>
          <w:b/>
          <w:bCs/>
          <w:kern w:val="2"/>
          <w:sz w:val="40"/>
          <w:szCs w:val="40"/>
        </w:rPr>
      </w:pPr>
      <w:r>
        <w:rPr>
          <w:rFonts w:ascii="Times New Roman" w:eastAsia="仿宋_GB2312" w:hAnsi="Times New Roman" w:cs="Times New Roman" w:hint="eastAsia"/>
          <w:b/>
          <w:bCs/>
          <w:kern w:val="2"/>
          <w:sz w:val="40"/>
          <w:szCs w:val="40"/>
        </w:rPr>
        <w:t>名词解释</w:t>
      </w:r>
    </w:p>
    <w:p w:rsidR="00AB27F8" w:rsidRDefault="00AB27F8">
      <w:pPr>
        <w:pStyle w:val="ab"/>
        <w:shd w:val="clear" w:color="auto" w:fill="FFFFFF"/>
        <w:spacing w:before="0" w:beforeAutospacing="0" w:after="0" w:afterAutospacing="0"/>
        <w:ind w:left="640" w:firstLine="720"/>
        <w:jc w:val="center"/>
        <w:textAlignment w:val="baseline"/>
        <w:rPr>
          <w:rFonts w:ascii="Times New Roman" w:eastAsia="仿宋_GB2312" w:hAnsi="Times New Roman" w:cs="Times New Roman"/>
          <w:b/>
          <w:bCs/>
          <w:kern w:val="2"/>
          <w:sz w:val="32"/>
          <w:szCs w:val="32"/>
        </w:rPr>
      </w:pPr>
    </w:p>
    <w:p w:rsidR="00AB27F8" w:rsidRDefault="00B97B80">
      <w:pPr>
        <w:pStyle w:val="ab"/>
        <w:shd w:val="clear" w:color="auto" w:fill="FFFFFF"/>
        <w:spacing w:before="0" w:beforeAutospacing="0" w:after="0" w:afterAutospacing="0" w:line="588" w:lineRule="exact"/>
        <w:ind w:firstLine="520"/>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kern w:val="2"/>
          <w:sz w:val="34"/>
          <w:szCs w:val="34"/>
        </w:rPr>
        <w:t> </w:t>
      </w:r>
      <w:r>
        <w:rPr>
          <w:rFonts w:ascii="Times New Roman" w:eastAsia="仿宋_GB2312" w:hAnsi="Times New Roman" w:cs="Times New Roman" w:hint="eastAsia"/>
          <w:b/>
          <w:bCs/>
          <w:kern w:val="2"/>
          <w:sz w:val="34"/>
          <w:szCs w:val="34"/>
        </w:rPr>
        <w:t>1.</w:t>
      </w:r>
      <w:r>
        <w:rPr>
          <w:rFonts w:ascii="方正仿宋简体" w:eastAsia="方正仿宋简体" w:hAnsi="方正仿宋简体" w:cs="方正仿宋简体" w:hint="eastAsia"/>
          <w:b/>
          <w:bCs/>
          <w:kern w:val="2"/>
          <w:sz w:val="34"/>
          <w:szCs w:val="34"/>
        </w:rPr>
        <w:t>一般公共预算收支决算：</w:t>
      </w:r>
      <w:r>
        <w:rPr>
          <w:rFonts w:ascii="方正仿宋简体" w:eastAsia="方正仿宋简体" w:hAnsi="方正仿宋简体" w:cs="方正仿宋简体" w:hint="eastAsia"/>
          <w:kern w:val="2"/>
          <w:sz w:val="34"/>
          <w:szCs w:val="34"/>
        </w:rPr>
        <w:t>指对以税收为主体的财政收入，安排用于保障和改善民生、推动经济社会发展、维护国家安全、维持国家机构正常运转等方面收支预算的最终执行结果。</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2.</w:t>
      </w:r>
      <w:r>
        <w:rPr>
          <w:rFonts w:ascii="方正仿宋简体" w:eastAsia="方正仿宋简体" w:hAnsi="方正仿宋简体" w:cs="方正仿宋简体" w:hint="eastAsia"/>
          <w:b/>
          <w:bCs/>
          <w:kern w:val="2"/>
          <w:sz w:val="34"/>
          <w:szCs w:val="34"/>
        </w:rPr>
        <w:t>转移支付：</w:t>
      </w:r>
      <w:r>
        <w:rPr>
          <w:rFonts w:ascii="方正仿宋简体" w:eastAsia="方正仿宋简体" w:hAnsi="方正仿宋简体" w:cs="方正仿宋简体" w:hint="eastAsia"/>
          <w:kern w:val="2"/>
          <w:sz w:val="34"/>
          <w:szCs w:val="34"/>
        </w:rPr>
        <w:t>指上级政府按照有关法律法规、财政体制和政策规定，给予下级政府的补助资金，包括一般性转移支付和专项转移支付。</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3.</w:t>
      </w:r>
      <w:r>
        <w:rPr>
          <w:rFonts w:ascii="方正仿宋简体" w:eastAsia="方正仿宋简体" w:hAnsi="方正仿宋简体" w:cs="方正仿宋简体" w:hint="eastAsia"/>
          <w:b/>
          <w:bCs/>
          <w:kern w:val="2"/>
          <w:sz w:val="34"/>
          <w:szCs w:val="34"/>
        </w:rPr>
        <w:t>一般性转移支付：</w:t>
      </w:r>
      <w:r>
        <w:rPr>
          <w:rFonts w:ascii="方正仿宋简体" w:eastAsia="方正仿宋简体" w:hAnsi="方正仿宋简体" w:cs="方正仿宋简体" w:hint="eastAsia"/>
          <w:kern w:val="2"/>
          <w:sz w:val="34"/>
          <w:szCs w:val="34"/>
        </w:rPr>
        <w:t>指上级政府对有财力缺口的下级政府，按照规范的办法给予的补助，下级政府可以按照相关规定统筹安排和使用。</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4.</w:t>
      </w:r>
      <w:r>
        <w:rPr>
          <w:rFonts w:ascii="方正仿宋简体" w:eastAsia="方正仿宋简体" w:hAnsi="方正仿宋简体" w:cs="方正仿宋简体" w:hint="eastAsia"/>
          <w:b/>
          <w:bCs/>
          <w:kern w:val="2"/>
          <w:sz w:val="34"/>
          <w:szCs w:val="34"/>
        </w:rPr>
        <w:t>专项转移支付：</w:t>
      </w:r>
      <w:r>
        <w:rPr>
          <w:rFonts w:ascii="方正仿宋简体" w:eastAsia="方正仿宋简体" w:hAnsi="方正仿宋简体" w:cs="方正仿宋简体" w:hint="eastAsia"/>
          <w:kern w:val="2"/>
          <w:sz w:val="34"/>
          <w:szCs w:val="34"/>
        </w:rPr>
        <w:t>指上级政府对承担委托事务的下级政府，给予具有指定用途的资金补助，以及对应由下级政府承担的事务，给予具有指定用途的奖励或补助。</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5.</w:t>
      </w:r>
      <w:r>
        <w:rPr>
          <w:rFonts w:ascii="方正仿宋简体" w:eastAsia="方正仿宋简体" w:hAnsi="方正仿宋简体" w:cs="方正仿宋简体" w:hint="eastAsia"/>
          <w:b/>
          <w:bCs/>
          <w:kern w:val="2"/>
          <w:sz w:val="34"/>
          <w:szCs w:val="34"/>
        </w:rPr>
        <w:t>税收返还：</w:t>
      </w:r>
      <w:r>
        <w:rPr>
          <w:rFonts w:ascii="方正仿宋简体" w:eastAsia="方正仿宋简体" w:hAnsi="方正仿宋简体" w:cs="方正仿宋简体" w:hint="eastAsia"/>
          <w:kern w:val="2"/>
          <w:sz w:val="34"/>
          <w:szCs w:val="34"/>
        </w:rPr>
        <w:t>指</w:t>
      </w:r>
      <w:r>
        <w:rPr>
          <w:rFonts w:ascii="Times New Roman" w:eastAsia="方正仿宋简体" w:hAnsi="Times New Roman" w:cs="Times New Roman"/>
          <w:kern w:val="2"/>
          <w:sz w:val="34"/>
          <w:szCs w:val="34"/>
        </w:rPr>
        <w:t>1994</w:t>
      </w:r>
      <w:r>
        <w:rPr>
          <w:rFonts w:ascii="方正仿宋简体" w:eastAsia="方正仿宋简体" w:hAnsi="方正仿宋简体" w:cs="方正仿宋简体" w:hint="eastAsia"/>
          <w:kern w:val="2"/>
          <w:sz w:val="34"/>
          <w:szCs w:val="34"/>
        </w:rPr>
        <w:t>年分税制改革、</w:t>
      </w:r>
      <w:r>
        <w:rPr>
          <w:rFonts w:ascii="Times New Roman" w:eastAsia="方正仿宋简体" w:hAnsi="Times New Roman" w:cs="Times New Roman"/>
          <w:kern w:val="2"/>
          <w:sz w:val="34"/>
          <w:szCs w:val="34"/>
        </w:rPr>
        <w:t>2002</w:t>
      </w:r>
      <w:r>
        <w:rPr>
          <w:rFonts w:ascii="方正仿宋简体" w:eastAsia="方正仿宋简体" w:hAnsi="方正仿宋简体" w:cs="方正仿宋简体" w:hint="eastAsia"/>
          <w:kern w:val="2"/>
          <w:sz w:val="34"/>
          <w:szCs w:val="34"/>
        </w:rPr>
        <w:t>年所得税收入分享改革、</w:t>
      </w:r>
      <w:r>
        <w:rPr>
          <w:rFonts w:ascii="Times New Roman" w:eastAsia="方正仿宋简体" w:hAnsi="Times New Roman" w:cs="Times New Roman"/>
          <w:kern w:val="2"/>
          <w:sz w:val="34"/>
          <w:szCs w:val="34"/>
        </w:rPr>
        <w:t>2009</w:t>
      </w:r>
      <w:r>
        <w:rPr>
          <w:rFonts w:ascii="方正仿宋简体" w:eastAsia="方正仿宋简体" w:hAnsi="方正仿宋简体" w:cs="方正仿宋简体" w:hint="eastAsia"/>
          <w:kern w:val="2"/>
          <w:sz w:val="34"/>
          <w:szCs w:val="34"/>
        </w:rPr>
        <w:t>年成品油税费改革以及</w:t>
      </w:r>
      <w:r>
        <w:rPr>
          <w:rFonts w:ascii="Times New Roman" w:eastAsia="方正仿宋简体" w:hAnsi="Times New Roman" w:cs="Times New Roman"/>
          <w:kern w:val="2"/>
          <w:sz w:val="34"/>
          <w:szCs w:val="34"/>
        </w:rPr>
        <w:t>2016</w:t>
      </w:r>
      <w:r>
        <w:rPr>
          <w:rFonts w:ascii="方正仿宋简体" w:eastAsia="方正仿宋简体" w:hAnsi="方正仿宋简体" w:cs="方正仿宋简体" w:hint="eastAsia"/>
          <w:kern w:val="2"/>
          <w:sz w:val="34"/>
          <w:szCs w:val="34"/>
        </w:rPr>
        <w:t>年营改增改革后，对原属于地方的收入划为中央收入部分，给予地方的补偿。包括增值税、消费税返还，所得税基数返还，以及成品油税费改革税收返还。</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lastRenderedPageBreak/>
        <w:t>6.</w:t>
      </w:r>
      <w:r>
        <w:rPr>
          <w:rFonts w:ascii="方正仿宋简体" w:eastAsia="方正仿宋简体" w:hAnsi="方正仿宋简体" w:cs="方正仿宋简体" w:hint="eastAsia"/>
          <w:b/>
          <w:bCs/>
          <w:kern w:val="2"/>
          <w:sz w:val="34"/>
          <w:szCs w:val="34"/>
        </w:rPr>
        <w:t>调入（调出）资金：</w:t>
      </w:r>
      <w:r>
        <w:rPr>
          <w:rFonts w:ascii="方正仿宋简体" w:eastAsia="方正仿宋简体" w:hAnsi="方正仿宋简体" w:cs="方正仿宋简体" w:hint="eastAsia"/>
          <w:kern w:val="2"/>
          <w:sz w:val="34"/>
          <w:szCs w:val="34"/>
        </w:rPr>
        <w:t>指不同性质资金之间的调入（调出）收入。</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7.</w:t>
      </w:r>
      <w:r>
        <w:rPr>
          <w:rFonts w:ascii="方正仿宋简体" w:eastAsia="方正仿宋简体" w:hAnsi="方正仿宋简体" w:cs="方正仿宋简体" w:hint="eastAsia"/>
          <w:b/>
          <w:bCs/>
          <w:kern w:val="2"/>
          <w:sz w:val="34"/>
          <w:szCs w:val="34"/>
        </w:rPr>
        <w:t>预算稳定调节基金：</w:t>
      </w:r>
      <w:r>
        <w:rPr>
          <w:rFonts w:ascii="方正仿宋简体" w:eastAsia="方正仿宋简体" w:hAnsi="方正仿宋简体" w:cs="方正仿宋简体" w:hint="eastAsia"/>
          <w:kern w:val="2"/>
          <w:sz w:val="34"/>
          <w:szCs w:val="34"/>
        </w:rPr>
        <w:t>指为实现宏观调控目标，保持年度间政府预算的衔接和稳定，一般公共预算设置的储备性资金。</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8.</w:t>
      </w:r>
      <w:r>
        <w:rPr>
          <w:rFonts w:ascii="方正仿宋简体" w:eastAsia="方正仿宋简体" w:hAnsi="方正仿宋简体" w:cs="方正仿宋简体" w:hint="eastAsia"/>
          <w:b/>
          <w:bCs/>
          <w:kern w:val="2"/>
          <w:sz w:val="34"/>
          <w:szCs w:val="34"/>
        </w:rPr>
        <w:t>预备费：</w:t>
      </w:r>
      <w:r>
        <w:rPr>
          <w:rFonts w:ascii="方正仿宋简体" w:eastAsia="方正仿宋简体" w:hAnsi="方正仿宋简体" w:cs="方正仿宋简体" w:hint="eastAsia"/>
          <w:kern w:val="2"/>
          <w:sz w:val="34"/>
          <w:szCs w:val="34"/>
        </w:rPr>
        <w:t>指一般公共预算按照一般公共预算支出额的百分之一至百分之三设置，用于当年预算执行中的自然灾害等突发事件处理增加的支出及其他难以预见的开支。</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9.</w:t>
      </w:r>
      <w:r>
        <w:rPr>
          <w:rFonts w:ascii="方正仿宋简体" w:eastAsia="方正仿宋简体" w:hAnsi="方正仿宋简体" w:cs="方正仿宋简体" w:hint="eastAsia"/>
          <w:b/>
          <w:bCs/>
          <w:kern w:val="2"/>
          <w:sz w:val="34"/>
          <w:szCs w:val="34"/>
        </w:rPr>
        <w:t>“三公”经费：</w:t>
      </w:r>
      <w:r>
        <w:rPr>
          <w:rFonts w:ascii="方正仿宋简体" w:eastAsia="方正仿宋简体" w:hAnsi="方正仿宋简体" w:cs="方正仿宋简体" w:hint="eastAsia"/>
          <w:kern w:val="2"/>
          <w:sz w:val="34"/>
          <w:szCs w:val="34"/>
        </w:rPr>
        <w:t>指政府部门人员因公出国（境）费用、公务招待费、公务用车购置和运行维护费。</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10.</w:t>
      </w:r>
      <w:r>
        <w:rPr>
          <w:rFonts w:ascii="Times New Roman" w:eastAsia="仿宋_GB2312" w:hAnsi="Times New Roman" w:cs="Times New Roman" w:hint="eastAsia"/>
          <w:b/>
          <w:bCs/>
          <w:kern w:val="2"/>
          <w:sz w:val="34"/>
          <w:szCs w:val="34"/>
        </w:rPr>
        <w:t>政府性基金预算收支决算：</w:t>
      </w:r>
      <w:r>
        <w:rPr>
          <w:rFonts w:ascii="Times New Roman" w:eastAsia="仿宋_GB2312" w:hAnsi="Times New Roman" w:cs="Times New Roman" w:hint="eastAsia"/>
          <w:kern w:val="2"/>
          <w:sz w:val="34"/>
          <w:szCs w:val="34"/>
        </w:rPr>
        <w:t>指对依照法律、行政法规的规定在一定期限内向特定对象征收、收取或者以其他方式筹集资金，专项用于特定公共事业发展收支预算的最终执行结果。</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t>1</w:t>
      </w:r>
      <w:r>
        <w:rPr>
          <w:rFonts w:ascii="Times New Roman" w:eastAsia="仿宋_GB2312" w:hAnsi="Times New Roman" w:cs="Times New Roman"/>
          <w:b/>
          <w:bCs/>
          <w:kern w:val="2"/>
          <w:sz w:val="34"/>
          <w:szCs w:val="34"/>
        </w:rPr>
        <w:t>1</w:t>
      </w:r>
      <w:r>
        <w:rPr>
          <w:rFonts w:ascii="Times New Roman" w:eastAsia="仿宋_GB2312" w:hAnsi="Times New Roman" w:cs="Times New Roman" w:hint="eastAsia"/>
          <w:b/>
          <w:bCs/>
          <w:kern w:val="2"/>
          <w:sz w:val="34"/>
          <w:szCs w:val="34"/>
        </w:rPr>
        <w:t>.</w:t>
      </w:r>
      <w:r>
        <w:rPr>
          <w:rFonts w:ascii="方正仿宋简体" w:eastAsia="方正仿宋简体" w:hAnsi="方正仿宋简体" w:cs="方正仿宋简体" w:hint="eastAsia"/>
          <w:b/>
          <w:bCs/>
          <w:kern w:val="2"/>
          <w:sz w:val="34"/>
          <w:szCs w:val="34"/>
        </w:rPr>
        <w:t>“三保”支出：</w:t>
      </w:r>
      <w:r>
        <w:rPr>
          <w:rFonts w:ascii="方正仿宋简体" w:eastAsia="方正仿宋简体" w:hAnsi="方正仿宋简体" w:cs="方正仿宋简体" w:hint="eastAsia"/>
          <w:kern w:val="2"/>
          <w:sz w:val="34"/>
          <w:szCs w:val="34"/>
        </w:rPr>
        <w:t>指保基本民生、保工资、保运转等方面支出。</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1</w:t>
      </w:r>
      <w:r>
        <w:rPr>
          <w:rFonts w:ascii="Times New Roman" w:eastAsia="仿宋_GB2312" w:hAnsi="Times New Roman" w:cs="Times New Roman"/>
          <w:b/>
          <w:bCs/>
          <w:kern w:val="2"/>
          <w:sz w:val="34"/>
          <w:szCs w:val="34"/>
        </w:rPr>
        <w:t>2</w:t>
      </w:r>
      <w:r>
        <w:rPr>
          <w:rFonts w:ascii="Times New Roman" w:eastAsia="仿宋_GB2312" w:hAnsi="Times New Roman" w:cs="Times New Roman" w:hint="eastAsia"/>
          <w:b/>
          <w:bCs/>
          <w:kern w:val="2"/>
          <w:sz w:val="34"/>
          <w:szCs w:val="34"/>
        </w:rPr>
        <w:t>.</w:t>
      </w:r>
      <w:r>
        <w:rPr>
          <w:rFonts w:ascii="方正仿宋简体" w:eastAsia="方正仿宋简体" w:hAnsi="方正仿宋简体" w:cs="方正仿宋简体" w:hint="eastAsia"/>
          <w:b/>
          <w:bCs/>
          <w:kern w:val="2"/>
          <w:sz w:val="34"/>
          <w:szCs w:val="34"/>
        </w:rPr>
        <w:t>六稳：</w:t>
      </w:r>
      <w:r>
        <w:rPr>
          <w:rFonts w:ascii="方正仿宋简体" w:eastAsia="方正仿宋简体" w:hAnsi="方正仿宋简体" w:cs="方正仿宋简体" w:hint="eastAsia"/>
          <w:kern w:val="2"/>
          <w:sz w:val="34"/>
          <w:szCs w:val="34"/>
        </w:rPr>
        <w:t>指稳就业、稳金融、稳外贸、稳外资、稳投资、稳预期。</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Times New Roman" w:eastAsia="仿宋_GB2312" w:hAnsi="Times New Roman" w:cs="Times New Roman"/>
          <w:kern w:val="2"/>
          <w:sz w:val="34"/>
          <w:szCs w:val="34"/>
        </w:rPr>
      </w:pPr>
      <w:r>
        <w:rPr>
          <w:rFonts w:ascii="Times New Roman" w:eastAsia="仿宋_GB2312" w:hAnsi="Times New Roman" w:cs="Times New Roman" w:hint="eastAsia"/>
          <w:b/>
          <w:bCs/>
          <w:kern w:val="2"/>
          <w:sz w:val="34"/>
          <w:szCs w:val="34"/>
        </w:rPr>
        <w:t>1</w:t>
      </w:r>
      <w:r>
        <w:rPr>
          <w:rFonts w:ascii="Times New Roman" w:eastAsia="仿宋_GB2312" w:hAnsi="Times New Roman" w:cs="Times New Roman"/>
          <w:b/>
          <w:bCs/>
          <w:kern w:val="2"/>
          <w:sz w:val="34"/>
          <w:szCs w:val="34"/>
        </w:rPr>
        <w:t>3</w:t>
      </w:r>
      <w:r>
        <w:rPr>
          <w:rFonts w:ascii="Times New Roman" w:eastAsia="仿宋_GB2312" w:hAnsi="Times New Roman" w:cs="Times New Roman" w:hint="eastAsia"/>
          <w:b/>
          <w:bCs/>
          <w:kern w:val="2"/>
          <w:sz w:val="34"/>
          <w:szCs w:val="34"/>
        </w:rPr>
        <w:t>.</w:t>
      </w:r>
      <w:r>
        <w:rPr>
          <w:rFonts w:ascii="Times New Roman" w:eastAsia="仿宋_GB2312" w:hAnsi="Times New Roman" w:cs="Times New Roman" w:hint="eastAsia"/>
          <w:b/>
          <w:bCs/>
          <w:kern w:val="2"/>
          <w:sz w:val="34"/>
          <w:szCs w:val="34"/>
        </w:rPr>
        <w:t>六保：</w:t>
      </w:r>
      <w:r>
        <w:rPr>
          <w:rFonts w:ascii="Times New Roman" w:eastAsia="仿宋_GB2312" w:hAnsi="Times New Roman" w:cs="Times New Roman" w:hint="eastAsia"/>
          <w:kern w:val="2"/>
          <w:sz w:val="34"/>
          <w:szCs w:val="34"/>
        </w:rPr>
        <w:t>指保居民就业、保基本民生、保市场主体、保粮食能源安全、保产业链供应链稳定、保基层运转。</w:t>
      </w:r>
    </w:p>
    <w:p w:rsidR="00AB27F8" w:rsidRDefault="00B97B80">
      <w:pPr>
        <w:pStyle w:val="ab"/>
        <w:shd w:val="clear" w:color="auto" w:fill="FFFFFF"/>
        <w:spacing w:before="0" w:beforeAutospacing="0" w:after="0" w:afterAutospacing="0" w:line="588" w:lineRule="exact"/>
        <w:ind w:firstLineChars="212" w:firstLine="724"/>
        <w:jc w:val="both"/>
        <w:textAlignment w:val="baseline"/>
        <w:rPr>
          <w:rFonts w:ascii="方正仿宋简体" w:eastAsia="方正仿宋简体" w:hAnsi="方正仿宋简体" w:cs="方正仿宋简体"/>
          <w:kern w:val="2"/>
          <w:sz w:val="34"/>
          <w:szCs w:val="34"/>
        </w:rPr>
      </w:pPr>
      <w:r>
        <w:rPr>
          <w:rFonts w:ascii="Times New Roman" w:eastAsia="仿宋_GB2312" w:hAnsi="Times New Roman" w:cs="Times New Roman" w:hint="eastAsia"/>
          <w:b/>
          <w:bCs/>
          <w:kern w:val="2"/>
          <w:sz w:val="34"/>
          <w:szCs w:val="34"/>
        </w:rPr>
        <w:lastRenderedPageBreak/>
        <w:t>14.</w:t>
      </w:r>
      <w:r>
        <w:rPr>
          <w:rFonts w:ascii="方正仿宋简体" w:eastAsia="方正仿宋简体" w:hAnsi="方正仿宋简体" w:cs="方正仿宋简体" w:hint="eastAsia"/>
          <w:b/>
          <w:bCs/>
          <w:kern w:val="2"/>
          <w:sz w:val="34"/>
          <w:szCs w:val="34"/>
        </w:rPr>
        <w:t>零基预算管理：</w:t>
      </w:r>
      <w:r>
        <w:rPr>
          <w:rFonts w:ascii="方正仿宋简体" w:eastAsia="方正仿宋简体" w:hAnsi="方正仿宋简体" w:cs="方正仿宋简体" w:hint="eastAsia"/>
          <w:kern w:val="2"/>
          <w:sz w:val="34"/>
          <w:szCs w:val="34"/>
        </w:rPr>
        <w:t>指在编制预算时，不依赖历史数据或上期预算，而是以“零”为起点，重新评估各项业务活动的必要性和资源需求，据此分配预算的管理方法。</w:t>
      </w:r>
    </w:p>
    <w:sectPr w:rsidR="00AB27F8">
      <w:footerReference w:type="default" r:id="rId7"/>
      <w:pgSz w:w="11906" w:h="16838"/>
      <w:pgMar w:top="2041" w:right="1559" w:bottom="1701" w:left="1559"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B80" w:rsidRDefault="00B97B80">
      <w:r>
        <w:separator/>
      </w:r>
    </w:p>
  </w:endnote>
  <w:endnote w:type="continuationSeparator" w:id="0">
    <w:p w:rsidR="00B97B80" w:rsidRDefault="00B9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方正仿宋简体">
    <w:altName w:val="宋体"/>
    <w:charset w:val="86"/>
    <w:family w:val="auto"/>
    <w:pitch w:val="default"/>
    <w:sig w:usb0="00000000" w:usb1="184F6CFA" w:usb2="00000012" w:usb3="00000000" w:csb0="00040001" w:csb1="00000000"/>
  </w:font>
  <w:font w:name="华文仿宋">
    <w:charset w:val="86"/>
    <w:family w:val="auto"/>
    <w:pitch w:val="variable"/>
    <w:sig w:usb0="00000287" w:usb1="080F0000" w:usb2="00000010" w:usb3="00000000" w:csb0="0004009F" w:csb1="00000000"/>
  </w:font>
  <w:font w:name="方正小标宋简体">
    <w:altName w:val="宋体"/>
    <w:charset w:val="86"/>
    <w:family w:val="auto"/>
    <w:pitch w:val="default"/>
    <w:sig w:usb0="00000000" w:usb1="184F6CFA" w:usb2="00000012" w:usb3="00000000" w:csb0="00040001" w:csb1="00000000"/>
  </w:font>
  <w:font w:name="方正楷体简体">
    <w:altName w:val="宋体"/>
    <w:charset w:val="86"/>
    <w:family w:val="script"/>
    <w:pitch w:val="default"/>
    <w:sig w:usb0="00000000" w:usb1="184F6CFA" w:usb2="00000012" w:usb3="00000000" w:csb0="00040001" w:csb1="00000000"/>
  </w:font>
  <w:font w:name="楷体_GB2312">
    <w:altName w:val="楷体"/>
    <w:charset w:val="86"/>
    <w:family w:val="auto"/>
    <w:pitch w:val="default"/>
    <w:sig w:usb0="00000001" w:usb1="080E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506570"/>
    </w:sdtPr>
    <w:sdtEndPr>
      <w:rPr>
        <w:sz w:val="24"/>
      </w:rPr>
    </w:sdtEndPr>
    <w:sdtContent>
      <w:p w:rsidR="00AB27F8" w:rsidRDefault="00B97B80">
        <w:pPr>
          <w:pStyle w:val="a7"/>
          <w:jc w:val="center"/>
          <w:rPr>
            <w:sz w:val="24"/>
          </w:rPr>
        </w:pPr>
        <w:r>
          <w:rPr>
            <w:sz w:val="24"/>
          </w:rPr>
          <w:fldChar w:fldCharType="begin"/>
        </w:r>
        <w:r>
          <w:rPr>
            <w:sz w:val="24"/>
          </w:rPr>
          <w:instrText>PAGE   \* MERGEFORMAT</w:instrText>
        </w:r>
        <w:r>
          <w:rPr>
            <w:sz w:val="24"/>
          </w:rPr>
          <w:fldChar w:fldCharType="separate"/>
        </w:r>
        <w:r w:rsidR="00352E8B" w:rsidRPr="00352E8B">
          <w:rPr>
            <w:noProof/>
            <w:sz w:val="24"/>
            <w:lang w:val="zh-CN"/>
          </w:rPr>
          <w:t>-</w:t>
        </w:r>
        <w:r w:rsidR="00352E8B">
          <w:rPr>
            <w:noProof/>
            <w:sz w:val="24"/>
          </w:rPr>
          <w:t xml:space="preserve"> 4 -</w:t>
        </w:r>
        <w:r>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B80" w:rsidRDefault="00B97B80">
      <w:r>
        <w:separator/>
      </w:r>
    </w:p>
  </w:footnote>
  <w:footnote w:type="continuationSeparator" w:id="0">
    <w:p w:rsidR="00B97B80" w:rsidRDefault="00B97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YzBjNGI0Mzk3YjdhMDZjZGRkNzc3MGI1Mzc5ZWQifQ=="/>
  </w:docVars>
  <w:rsids>
    <w:rsidRoot w:val="00AB6AF3"/>
    <w:rsid w:val="9A689EED"/>
    <w:rsid w:val="A27CC119"/>
    <w:rsid w:val="B5E75C7D"/>
    <w:rsid w:val="BCFF5282"/>
    <w:rsid w:val="D4BF180B"/>
    <w:rsid w:val="EDAC9287"/>
    <w:rsid w:val="FDBDA846"/>
    <w:rsid w:val="FDF6C6D3"/>
    <w:rsid w:val="FDFFC473"/>
    <w:rsid w:val="FECCA189"/>
    <w:rsid w:val="FEFD2EBD"/>
    <w:rsid w:val="00001B81"/>
    <w:rsid w:val="000062F8"/>
    <w:rsid w:val="00006CBB"/>
    <w:rsid w:val="00011374"/>
    <w:rsid w:val="00014F5C"/>
    <w:rsid w:val="0002023E"/>
    <w:rsid w:val="00024B2A"/>
    <w:rsid w:val="00025450"/>
    <w:rsid w:val="000263B0"/>
    <w:rsid w:val="000273DF"/>
    <w:rsid w:val="00030182"/>
    <w:rsid w:val="000342D9"/>
    <w:rsid w:val="000351C0"/>
    <w:rsid w:val="000420AA"/>
    <w:rsid w:val="00043A1D"/>
    <w:rsid w:val="0004451F"/>
    <w:rsid w:val="000468E5"/>
    <w:rsid w:val="00047BF5"/>
    <w:rsid w:val="00053D4D"/>
    <w:rsid w:val="00061A70"/>
    <w:rsid w:val="00062D93"/>
    <w:rsid w:val="00073253"/>
    <w:rsid w:val="00074CC0"/>
    <w:rsid w:val="0008303F"/>
    <w:rsid w:val="000842B2"/>
    <w:rsid w:val="00085C59"/>
    <w:rsid w:val="00090DC0"/>
    <w:rsid w:val="0009575E"/>
    <w:rsid w:val="00096A71"/>
    <w:rsid w:val="000A4051"/>
    <w:rsid w:val="000B39FD"/>
    <w:rsid w:val="000C2560"/>
    <w:rsid w:val="000C4B83"/>
    <w:rsid w:val="000D1EAC"/>
    <w:rsid w:val="000D733E"/>
    <w:rsid w:val="000E174A"/>
    <w:rsid w:val="000E182E"/>
    <w:rsid w:val="000E1FA0"/>
    <w:rsid w:val="000E6986"/>
    <w:rsid w:val="000F33A2"/>
    <w:rsid w:val="00111F09"/>
    <w:rsid w:val="00114942"/>
    <w:rsid w:val="001226D8"/>
    <w:rsid w:val="001240B1"/>
    <w:rsid w:val="001321C6"/>
    <w:rsid w:val="00136EE6"/>
    <w:rsid w:val="00140D48"/>
    <w:rsid w:val="00141C38"/>
    <w:rsid w:val="00143EC3"/>
    <w:rsid w:val="00144EE2"/>
    <w:rsid w:val="00145D63"/>
    <w:rsid w:val="00150645"/>
    <w:rsid w:val="00155171"/>
    <w:rsid w:val="0015550F"/>
    <w:rsid w:val="00156C05"/>
    <w:rsid w:val="00157D4D"/>
    <w:rsid w:val="001618D4"/>
    <w:rsid w:val="00162355"/>
    <w:rsid w:val="0016580A"/>
    <w:rsid w:val="00186CBC"/>
    <w:rsid w:val="001900E8"/>
    <w:rsid w:val="00191953"/>
    <w:rsid w:val="001952C8"/>
    <w:rsid w:val="001961CA"/>
    <w:rsid w:val="001A5E32"/>
    <w:rsid w:val="001A7531"/>
    <w:rsid w:val="001B19B2"/>
    <w:rsid w:val="001B1C0D"/>
    <w:rsid w:val="001B2FD1"/>
    <w:rsid w:val="001B6895"/>
    <w:rsid w:val="001C0EE1"/>
    <w:rsid w:val="001D07AD"/>
    <w:rsid w:val="001E1C91"/>
    <w:rsid w:val="001E3925"/>
    <w:rsid w:val="001E5FD2"/>
    <w:rsid w:val="001E74C3"/>
    <w:rsid w:val="001F20A5"/>
    <w:rsid w:val="001F2443"/>
    <w:rsid w:val="001F2EC8"/>
    <w:rsid w:val="001F69C4"/>
    <w:rsid w:val="00201D2D"/>
    <w:rsid w:val="0021090E"/>
    <w:rsid w:val="00214CD3"/>
    <w:rsid w:val="00216BDC"/>
    <w:rsid w:val="00220787"/>
    <w:rsid w:val="002225A7"/>
    <w:rsid w:val="00222F9B"/>
    <w:rsid w:val="002239D7"/>
    <w:rsid w:val="002300B1"/>
    <w:rsid w:val="002303CF"/>
    <w:rsid w:val="002311CB"/>
    <w:rsid w:val="0023687F"/>
    <w:rsid w:val="00242025"/>
    <w:rsid w:val="0024538B"/>
    <w:rsid w:val="0025582D"/>
    <w:rsid w:val="002571D0"/>
    <w:rsid w:val="00262D9A"/>
    <w:rsid w:val="002805A6"/>
    <w:rsid w:val="00280EF1"/>
    <w:rsid w:val="00287646"/>
    <w:rsid w:val="002A0DF6"/>
    <w:rsid w:val="002A1676"/>
    <w:rsid w:val="002B3FB4"/>
    <w:rsid w:val="002C303B"/>
    <w:rsid w:val="002C7F8E"/>
    <w:rsid w:val="002D221D"/>
    <w:rsid w:val="002D6334"/>
    <w:rsid w:val="002E0DC4"/>
    <w:rsid w:val="002E571A"/>
    <w:rsid w:val="002E6432"/>
    <w:rsid w:val="002E712C"/>
    <w:rsid w:val="002E7700"/>
    <w:rsid w:val="002F22D1"/>
    <w:rsid w:val="002F3574"/>
    <w:rsid w:val="002F3A88"/>
    <w:rsid w:val="002F428C"/>
    <w:rsid w:val="002F44A7"/>
    <w:rsid w:val="00306A6B"/>
    <w:rsid w:val="00307B20"/>
    <w:rsid w:val="003104E7"/>
    <w:rsid w:val="00310B22"/>
    <w:rsid w:val="00311CF3"/>
    <w:rsid w:val="003159BE"/>
    <w:rsid w:val="003206AD"/>
    <w:rsid w:val="003226F7"/>
    <w:rsid w:val="00340050"/>
    <w:rsid w:val="0034243F"/>
    <w:rsid w:val="00352012"/>
    <w:rsid w:val="00352E8B"/>
    <w:rsid w:val="00373986"/>
    <w:rsid w:val="003849A0"/>
    <w:rsid w:val="0038724F"/>
    <w:rsid w:val="003920C7"/>
    <w:rsid w:val="003976AD"/>
    <w:rsid w:val="003A12E6"/>
    <w:rsid w:val="003A2BCC"/>
    <w:rsid w:val="003A5B0D"/>
    <w:rsid w:val="003B0951"/>
    <w:rsid w:val="003B2634"/>
    <w:rsid w:val="003B7397"/>
    <w:rsid w:val="003B741A"/>
    <w:rsid w:val="003B7934"/>
    <w:rsid w:val="003C4CF2"/>
    <w:rsid w:val="003C4EFD"/>
    <w:rsid w:val="003D2B16"/>
    <w:rsid w:val="003E0880"/>
    <w:rsid w:val="003E09D6"/>
    <w:rsid w:val="003E0C47"/>
    <w:rsid w:val="003F1F2A"/>
    <w:rsid w:val="003F222D"/>
    <w:rsid w:val="003F6CC6"/>
    <w:rsid w:val="004032E7"/>
    <w:rsid w:val="004116F1"/>
    <w:rsid w:val="0041776F"/>
    <w:rsid w:val="00420234"/>
    <w:rsid w:val="00420F1C"/>
    <w:rsid w:val="004256CD"/>
    <w:rsid w:val="004271FE"/>
    <w:rsid w:val="0042722A"/>
    <w:rsid w:val="0043122C"/>
    <w:rsid w:val="00431FB3"/>
    <w:rsid w:val="004320E6"/>
    <w:rsid w:val="0043533E"/>
    <w:rsid w:val="00435900"/>
    <w:rsid w:val="00436007"/>
    <w:rsid w:val="004361E4"/>
    <w:rsid w:val="004368E5"/>
    <w:rsid w:val="00437228"/>
    <w:rsid w:val="004422BA"/>
    <w:rsid w:val="00442731"/>
    <w:rsid w:val="00443D3A"/>
    <w:rsid w:val="00446D47"/>
    <w:rsid w:val="00451D33"/>
    <w:rsid w:val="00453A66"/>
    <w:rsid w:val="00455DEC"/>
    <w:rsid w:val="00456F06"/>
    <w:rsid w:val="00460748"/>
    <w:rsid w:val="00463FB0"/>
    <w:rsid w:val="00465E8B"/>
    <w:rsid w:val="00475F9C"/>
    <w:rsid w:val="00477BD4"/>
    <w:rsid w:val="00480B3C"/>
    <w:rsid w:val="004824DD"/>
    <w:rsid w:val="00486608"/>
    <w:rsid w:val="004874AE"/>
    <w:rsid w:val="00492FBD"/>
    <w:rsid w:val="004A10E8"/>
    <w:rsid w:val="004A227A"/>
    <w:rsid w:val="004A2A31"/>
    <w:rsid w:val="004A37B7"/>
    <w:rsid w:val="004B058A"/>
    <w:rsid w:val="004B0F94"/>
    <w:rsid w:val="004B188F"/>
    <w:rsid w:val="004B7ECB"/>
    <w:rsid w:val="004C0542"/>
    <w:rsid w:val="004C0D73"/>
    <w:rsid w:val="004C5198"/>
    <w:rsid w:val="004D21AE"/>
    <w:rsid w:val="004D480E"/>
    <w:rsid w:val="004E1B8B"/>
    <w:rsid w:val="004E6ECD"/>
    <w:rsid w:val="004F37E9"/>
    <w:rsid w:val="004F3ADE"/>
    <w:rsid w:val="004F65D0"/>
    <w:rsid w:val="005023D2"/>
    <w:rsid w:val="0050399B"/>
    <w:rsid w:val="00507752"/>
    <w:rsid w:val="005147CC"/>
    <w:rsid w:val="00515247"/>
    <w:rsid w:val="00516A28"/>
    <w:rsid w:val="005213FE"/>
    <w:rsid w:val="00523829"/>
    <w:rsid w:val="005245EC"/>
    <w:rsid w:val="00533364"/>
    <w:rsid w:val="005337F1"/>
    <w:rsid w:val="00534D16"/>
    <w:rsid w:val="005361E3"/>
    <w:rsid w:val="005366BB"/>
    <w:rsid w:val="005431AC"/>
    <w:rsid w:val="00545B57"/>
    <w:rsid w:val="0054635E"/>
    <w:rsid w:val="005517E3"/>
    <w:rsid w:val="00551C2A"/>
    <w:rsid w:val="005603B6"/>
    <w:rsid w:val="00561AD0"/>
    <w:rsid w:val="00561B86"/>
    <w:rsid w:val="00562811"/>
    <w:rsid w:val="00562C19"/>
    <w:rsid w:val="00565A66"/>
    <w:rsid w:val="00567E69"/>
    <w:rsid w:val="00570CC5"/>
    <w:rsid w:val="00585AD1"/>
    <w:rsid w:val="00587314"/>
    <w:rsid w:val="00593761"/>
    <w:rsid w:val="005A0714"/>
    <w:rsid w:val="005A245B"/>
    <w:rsid w:val="005A3146"/>
    <w:rsid w:val="005A769E"/>
    <w:rsid w:val="005B1281"/>
    <w:rsid w:val="005B2452"/>
    <w:rsid w:val="005B37E5"/>
    <w:rsid w:val="005B3FAB"/>
    <w:rsid w:val="005B785B"/>
    <w:rsid w:val="005C03FC"/>
    <w:rsid w:val="005C3798"/>
    <w:rsid w:val="005C5081"/>
    <w:rsid w:val="005D4D42"/>
    <w:rsid w:val="005E163B"/>
    <w:rsid w:val="005E2AF6"/>
    <w:rsid w:val="005E3847"/>
    <w:rsid w:val="005F3E48"/>
    <w:rsid w:val="005F5AE2"/>
    <w:rsid w:val="005F6630"/>
    <w:rsid w:val="005F7E77"/>
    <w:rsid w:val="0061424A"/>
    <w:rsid w:val="00614B9F"/>
    <w:rsid w:val="006174B9"/>
    <w:rsid w:val="00624D87"/>
    <w:rsid w:val="00631FAF"/>
    <w:rsid w:val="00637157"/>
    <w:rsid w:val="006415FC"/>
    <w:rsid w:val="006420CF"/>
    <w:rsid w:val="00643C6B"/>
    <w:rsid w:val="00644725"/>
    <w:rsid w:val="00647A50"/>
    <w:rsid w:val="00653680"/>
    <w:rsid w:val="0066370B"/>
    <w:rsid w:val="006639FF"/>
    <w:rsid w:val="006677EE"/>
    <w:rsid w:val="006701E6"/>
    <w:rsid w:val="00680972"/>
    <w:rsid w:val="00683D05"/>
    <w:rsid w:val="006933C1"/>
    <w:rsid w:val="00694B10"/>
    <w:rsid w:val="006952A6"/>
    <w:rsid w:val="00697953"/>
    <w:rsid w:val="006B03C5"/>
    <w:rsid w:val="006B40E6"/>
    <w:rsid w:val="006B49F3"/>
    <w:rsid w:val="006D1719"/>
    <w:rsid w:val="006D20E7"/>
    <w:rsid w:val="006D2128"/>
    <w:rsid w:val="006D7A97"/>
    <w:rsid w:val="006E2394"/>
    <w:rsid w:val="006E2CE1"/>
    <w:rsid w:val="006E6978"/>
    <w:rsid w:val="006F6258"/>
    <w:rsid w:val="007031A8"/>
    <w:rsid w:val="00705354"/>
    <w:rsid w:val="007170D5"/>
    <w:rsid w:val="00722023"/>
    <w:rsid w:val="007221BB"/>
    <w:rsid w:val="00722477"/>
    <w:rsid w:val="00725F60"/>
    <w:rsid w:val="007272DF"/>
    <w:rsid w:val="0073058C"/>
    <w:rsid w:val="00737CFA"/>
    <w:rsid w:val="00742CC9"/>
    <w:rsid w:val="00742E39"/>
    <w:rsid w:val="0074459E"/>
    <w:rsid w:val="007519F2"/>
    <w:rsid w:val="00757482"/>
    <w:rsid w:val="00761B94"/>
    <w:rsid w:val="0076324B"/>
    <w:rsid w:val="00763751"/>
    <w:rsid w:val="00764B69"/>
    <w:rsid w:val="007651F9"/>
    <w:rsid w:val="00765CAE"/>
    <w:rsid w:val="0077602F"/>
    <w:rsid w:val="007768AB"/>
    <w:rsid w:val="0078502C"/>
    <w:rsid w:val="00787A90"/>
    <w:rsid w:val="00795957"/>
    <w:rsid w:val="007A0094"/>
    <w:rsid w:val="007A120C"/>
    <w:rsid w:val="007A548A"/>
    <w:rsid w:val="007A551C"/>
    <w:rsid w:val="007A5D27"/>
    <w:rsid w:val="007A7258"/>
    <w:rsid w:val="007B07BB"/>
    <w:rsid w:val="007B6F35"/>
    <w:rsid w:val="007B77D9"/>
    <w:rsid w:val="007C48CA"/>
    <w:rsid w:val="007C7BCE"/>
    <w:rsid w:val="007D0045"/>
    <w:rsid w:val="007D027D"/>
    <w:rsid w:val="007D3C92"/>
    <w:rsid w:val="007D6ECE"/>
    <w:rsid w:val="007D77A1"/>
    <w:rsid w:val="007E25E2"/>
    <w:rsid w:val="007E2E89"/>
    <w:rsid w:val="007E7CA8"/>
    <w:rsid w:val="007F4308"/>
    <w:rsid w:val="00802386"/>
    <w:rsid w:val="00803BEA"/>
    <w:rsid w:val="00806C5F"/>
    <w:rsid w:val="00812F60"/>
    <w:rsid w:val="008164EE"/>
    <w:rsid w:val="008223D8"/>
    <w:rsid w:val="0083073D"/>
    <w:rsid w:val="008332AF"/>
    <w:rsid w:val="008378AE"/>
    <w:rsid w:val="00840BB9"/>
    <w:rsid w:val="0084107F"/>
    <w:rsid w:val="00841E4B"/>
    <w:rsid w:val="00844070"/>
    <w:rsid w:val="00845AAB"/>
    <w:rsid w:val="00847EF4"/>
    <w:rsid w:val="008515CF"/>
    <w:rsid w:val="008531E4"/>
    <w:rsid w:val="008556EF"/>
    <w:rsid w:val="00855C33"/>
    <w:rsid w:val="00857932"/>
    <w:rsid w:val="008645B5"/>
    <w:rsid w:val="00875A49"/>
    <w:rsid w:val="00875C31"/>
    <w:rsid w:val="00884547"/>
    <w:rsid w:val="00887A40"/>
    <w:rsid w:val="008903A5"/>
    <w:rsid w:val="00890FFA"/>
    <w:rsid w:val="00897C51"/>
    <w:rsid w:val="008A5C01"/>
    <w:rsid w:val="008B0CEB"/>
    <w:rsid w:val="008B175F"/>
    <w:rsid w:val="008B2B55"/>
    <w:rsid w:val="008B32BA"/>
    <w:rsid w:val="008B4C39"/>
    <w:rsid w:val="008B4E47"/>
    <w:rsid w:val="008B7F89"/>
    <w:rsid w:val="008C1ACD"/>
    <w:rsid w:val="008D0B16"/>
    <w:rsid w:val="008D0EF1"/>
    <w:rsid w:val="008D2099"/>
    <w:rsid w:val="008D4B19"/>
    <w:rsid w:val="008D5434"/>
    <w:rsid w:val="008E01FE"/>
    <w:rsid w:val="008E0921"/>
    <w:rsid w:val="008F1B9C"/>
    <w:rsid w:val="008F333A"/>
    <w:rsid w:val="008F3D38"/>
    <w:rsid w:val="008F6124"/>
    <w:rsid w:val="00901B95"/>
    <w:rsid w:val="00901DC6"/>
    <w:rsid w:val="0090425B"/>
    <w:rsid w:val="009048CB"/>
    <w:rsid w:val="00912FCB"/>
    <w:rsid w:val="00922EC4"/>
    <w:rsid w:val="0092312A"/>
    <w:rsid w:val="00923D3B"/>
    <w:rsid w:val="0092792B"/>
    <w:rsid w:val="00932810"/>
    <w:rsid w:val="00933571"/>
    <w:rsid w:val="00934478"/>
    <w:rsid w:val="00934D89"/>
    <w:rsid w:val="0093790A"/>
    <w:rsid w:val="0094025C"/>
    <w:rsid w:val="00942487"/>
    <w:rsid w:val="009436AB"/>
    <w:rsid w:val="00945562"/>
    <w:rsid w:val="00945856"/>
    <w:rsid w:val="00952183"/>
    <w:rsid w:val="00954D14"/>
    <w:rsid w:val="00955DFC"/>
    <w:rsid w:val="009569CC"/>
    <w:rsid w:val="00960ED7"/>
    <w:rsid w:val="00986FE9"/>
    <w:rsid w:val="009928EF"/>
    <w:rsid w:val="00996D9F"/>
    <w:rsid w:val="009A1F59"/>
    <w:rsid w:val="009B4E74"/>
    <w:rsid w:val="009B763C"/>
    <w:rsid w:val="009C346B"/>
    <w:rsid w:val="009C6E8C"/>
    <w:rsid w:val="009D32FB"/>
    <w:rsid w:val="009D6DD8"/>
    <w:rsid w:val="009E7933"/>
    <w:rsid w:val="009F33B4"/>
    <w:rsid w:val="009F58FE"/>
    <w:rsid w:val="009F5A34"/>
    <w:rsid w:val="00A000BD"/>
    <w:rsid w:val="00A03515"/>
    <w:rsid w:val="00A054E5"/>
    <w:rsid w:val="00A126D3"/>
    <w:rsid w:val="00A2372B"/>
    <w:rsid w:val="00A27F05"/>
    <w:rsid w:val="00A32EE6"/>
    <w:rsid w:val="00A332BF"/>
    <w:rsid w:val="00A4266F"/>
    <w:rsid w:val="00A5653B"/>
    <w:rsid w:val="00A56F2D"/>
    <w:rsid w:val="00A63B19"/>
    <w:rsid w:val="00A65DE0"/>
    <w:rsid w:val="00A71672"/>
    <w:rsid w:val="00A804D8"/>
    <w:rsid w:val="00A82477"/>
    <w:rsid w:val="00A85480"/>
    <w:rsid w:val="00A85C07"/>
    <w:rsid w:val="00A90EE5"/>
    <w:rsid w:val="00A91DEB"/>
    <w:rsid w:val="00A97969"/>
    <w:rsid w:val="00AA0661"/>
    <w:rsid w:val="00AA6265"/>
    <w:rsid w:val="00AB27F8"/>
    <w:rsid w:val="00AB6AF3"/>
    <w:rsid w:val="00AB6D23"/>
    <w:rsid w:val="00AC3EF5"/>
    <w:rsid w:val="00AC640C"/>
    <w:rsid w:val="00AC6CD2"/>
    <w:rsid w:val="00AD4B5C"/>
    <w:rsid w:val="00AD56FB"/>
    <w:rsid w:val="00AE54D9"/>
    <w:rsid w:val="00AF232F"/>
    <w:rsid w:val="00B02C68"/>
    <w:rsid w:val="00B04B9B"/>
    <w:rsid w:val="00B06395"/>
    <w:rsid w:val="00B107D9"/>
    <w:rsid w:val="00B173DF"/>
    <w:rsid w:val="00B223C3"/>
    <w:rsid w:val="00B26C4D"/>
    <w:rsid w:val="00B27E7D"/>
    <w:rsid w:val="00B31CE9"/>
    <w:rsid w:val="00B32C08"/>
    <w:rsid w:val="00B34CF3"/>
    <w:rsid w:val="00B3532A"/>
    <w:rsid w:val="00B37947"/>
    <w:rsid w:val="00B43A01"/>
    <w:rsid w:val="00B43F0C"/>
    <w:rsid w:val="00B67E81"/>
    <w:rsid w:val="00B77F3A"/>
    <w:rsid w:val="00B800AF"/>
    <w:rsid w:val="00B825E1"/>
    <w:rsid w:val="00B82C5D"/>
    <w:rsid w:val="00B85A4C"/>
    <w:rsid w:val="00B91AAF"/>
    <w:rsid w:val="00B94FB9"/>
    <w:rsid w:val="00B959A7"/>
    <w:rsid w:val="00B97B80"/>
    <w:rsid w:val="00BA0719"/>
    <w:rsid w:val="00BA1F99"/>
    <w:rsid w:val="00BA25CF"/>
    <w:rsid w:val="00BB35EC"/>
    <w:rsid w:val="00BB5780"/>
    <w:rsid w:val="00BC1785"/>
    <w:rsid w:val="00BC536D"/>
    <w:rsid w:val="00BD0C37"/>
    <w:rsid w:val="00BD42FA"/>
    <w:rsid w:val="00BD5740"/>
    <w:rsid w:val="00BD664C"/>
    <w:rsid w:val="00BF1E9A"/>
    <w:rsid w:val="00BF7B69"/>
    <w:rsid w:val="00C03CC0"/>
    <w:rsid w:val="00C05884"/>
    <w:rsid w:val="00C161F9"/>
    <w:rsid w:val="00C16971"/>
    <w:rsid w:val="00C22327"/>
    <w:rsid w:val="00C247B3"/>
    <w:rsid w:val="00C31354"/>
    <w:rsid w:val="00C31CD4"/>
    <w:rsid w:val="00C320ED"/>
    <w:rsid w:val="00C353DC"/>
    <w:rsid w:val="00C36E68"/>
    <w:rsid w:val="00C4215D"/>
    <w:rsid w:val="00C43F4F"/>
    <w:rsid w:val="00C45D5A"/>
    <w:rsid w:val="00C46C47"/>
    <w:rsid w:val="00C47F92"/>
    <w:rsid w:val="00C50D12"/>
    <w:rsid w:val="00C552A1"/>
    <w:rsid w:val="00C577BE"/>
    <w:rsid w:val="00C83A7D"/>
    <w:rsid w:val="00C932D8"/>
    <w:rsid w:val="00C9612F"/>
    <w:rsid w:val="00CA5D22"/>
    <w:rsid w:val="00CA77EB"/>
    <w:rsid w:val="00CB4C13"/>
    <w:rsid w:val="00CB7F88"/>
    <w:rsid w:val="00CC0B8B"/>
    <w:rsid w:val="00CC2192"/>
    <w:rsid w:val="00CC3BE7"/>
    <w:rsid w:val="00CC42C1"/>
    <w:rsid w:val="00CC4FA6"/>
    <w:rsid w:val="00CC5A90"/>
    <w:rsid w:val="00CC61A4"/>
    <w:rsid w:val="00CD101A"/>
    <w:rsid w:val="00CD30E8"/>
    <w:rsid w:val="00CE71D0"/>
    <w:rsid w:val="00CF0BFE"/>
    <w:rsid w:val="00CF65E2"/>
    <w:rsid w:val="00CF7940"/>
    <w:rsid w:val="00D00629"/>
    <w:rsid w:val="00D04196"/>
    <w:rsid w:val="00D04746"/>
    <w:rsid w:val="00D170E9"/>
    <w:rsid w:val="00D2014D"/>
    <w:rsid w:val="00D26385"/>
    <w:rsid w:val="00D31D8C"/>
    <w:rsid w:val="00D32F6A"/>
    <w:rsid w:val="00D34114"/>
    <w:rsid w:val="00D34566"/>
    <w:rsid w:val="00D36FF6"/>
    <w:rsid w:val="00D40694"/>
    <w:rsid w:val="00D42873"/>
    <w:rsid w:val="00D4547E"/>
    <w:rsid w:val="00D4629E"/>
    <w:rsid w:val="00D53659"/>
    <w:rsid w:val="00D54F42"/>
    <w:rsid w:val="00D55439"/>
    <w:rsid w:val="00D56B26"/>
    <w:rsid w:val="00D57F5D"/>
    <w:rsid w:val="00D60432"/>
    <w:rsid w:val="00D6415B"/>
    <w:rsid w:val="00D70B27"/>
    <w:rsid w:val="00D736C3"/>
    <w:rsid w:val="00D750CA"/>
    <w:rsid w:val="00D7526D"/>
    <w:rsid w:val="00D84818"/>
    <w:rsid w:val="00D939A9"/>
    <w:rsid w:val="00D94031"/>
    <w:rsid w:val="00D94798"/>
    <w:rsid w:val="00D94C09"/>
    <w:rsid w:val="00DA4BAF"/>
    <w:rsid w:val="00DA7379"/>
    <w:rsid w:val="00DB2E73"/>
    <w:rsid w:val="00DB7703"/>
    <w:rsid w:val="00DC0957"/>
    <w:rsid w:val="00DC452A"/>
    <w:rsid w:val="00DD0A62"/>
    <w:rsid w:val="00DD308D"/>
    <w:rsid w:val="00DE0443"/>
    <w:rsid w:val="00DE0E0E"/>
    <w:rsid w:val="00DF0BDB"/>
    <w:rsid w:val="00DF2782"/>
    <w:rsid w:val="00DF492B"/>
    <w:rsid w:val="00DF58F2"/>
    <w:rsid w:val="00DF6C02"/>
    <w:rsid w:val="00E002E2"/>
    <w:rsid w:val="00E01E65"/>
    <w:rsid w:val="00E26B4D"/>
    <w:rsid w:val="00E310CC"/>
    <w:rsid w:val="00E36FB4"/>
    <w:rsid w:val="00E40CA4"/>
    <w:rsid w:val="00E41E03"/>
    <w:rsid w:val="00E5197F"/>
    <w:rsid w:val="00E52D34"/>
    <w:rsid w:val="00E56BA2"/>
    <w:rsid w:val="00E6310A"/>
    <w:rsid w:val="00E65304"/>
    <w:rsid w:val="00E71599"/>
    <w:rsid w:val="00E7230F"/>
    <w:rsid w:val="00E72734"/>
    <w:rsid w:val="00E73C44"/>
    <w:rsid w:val="00E764BE"/>
    <w:rsid w:val="00E76A34"/>
    <w:rsid w:val="00E77191"/>
    <w:rsid w:val="00E80ECF"/>
    <w:rsid w:val="00E815B9"/>
    <w:rsid w:val="00E83AAC"/>
    <w:rsid w:val="00E83DB1"/>
    <w:rsid w:val="00E869EE"/>
    <w:rsid w:val="00E8744D"/>
    <w:rsid w:val="00E9599A"/>
    <w:rsid w:val="00E97B36"/>
    <w:rsid w:val="00EB0C17"/>
    <w:rsid w:val="00EB0FCE"/>
    <w:rsid w:val="00EC5DFF"/>
    <w:rsid w:val="00EC6334"/>
    <w:rsid w:val="00EE070D"/>
    <w:rsid w:val="00EE1318"/>
    <w:rsid w:val="00EF2820"/>
    <w:rsid w:val="00EF3C6C"/>
    <w:rsid w:val="00EF4305"/>
    <w:rsid w:val="00F058EF"/>
    <w:rsid w:val="00F1017E"/>
    <w:rsid w:val="00F15C57"/>
    <w:rsid w:val="00F20C29"/>
    <w:rsid w:val="00F210C1"/>
    <w:rsid w:val="00F25520"/>
    <w:rsid w:val="00F34601"/>
    <w:rsid w:val="00F3607B"/>
    <w:rsid w:val="00F415AD"/>
    <w:rsid w:val="00F430A7"/>
    <w:rsid w:val="00F4350D"/>
    <w:rsid w:val="00F4494A"/>
    <w:rsid w:val="00F455CA"/>
    <w:rsid w:val="00F50108"/>
    <w:rsid w:val="00F54CA8"/>
    <w:rsid w:val="00F55C55"/>
    <w:rsid w:val="00F57BCE"/>
    <w:rsid w:val="00F62C50"/>
    <w:rsid w:val="00F6717D"/>
    <w:rsid w:val="00F734B4"/>
    <w:rsid w:val="00F807FD"/>
    <w:rsid w:val="00F82295"/>
    <w:rsid w:val="00F83B6C"/>
    <w:rsid w:val="00F8511F"/>
    <w:rsid w:val="00F86D92"/>
    <w:rsid w:val="00F86D96"/>
    <w:rsid w:val="00F92B15"/>
    <w:rsid w:val="00FA14F1"/>
    <w:rsid w:val="00FB34C2"/>
    <w:rsid w:val="00FB3A99"/>
    <w:rsid w:val="00FB59EF"/>
    <w:rsid w:val="00FB7E2D"/>
    <w:rsid w:val="00FC4A9A"/>
    <w:rsid w:val="00FC669C"/>
    <w:rsid w:val="00FD1912"/>
    <w:rsid w:val="00FD3995"/>
    <w:rsid w:val="00FD3FEF"/>
    <w:rsid w:val="00FE032D"/>
    <w:rsid w:val="00FE2746"/>
    <w:rsid w:val="00FE4FA2"/>
    <w:rsid w:val="00FE6C70"/>
    <w:rsid w:val="00FF48EB"/>
    <w:rsid w:val="00FF5E06"/>
    <w:rsid w:val="0EC879B1"/>
    <w:rsid w:val="2DBC2107"/>
    <w:rsid w:val="35D35CA2"/>
    <w:rsid w:val="3FA79A13"/>
    <w:rsid w:val="3FBEFAC2"/>
    <w:rsid w:val="59FF375B"/>
    <w:rsid w:val="5DDE1A54"/>
    <w:rsid w:val="5FEF424B"/>
    <w:rsid w:val="6E1E7EE9"/>
    <w:rsid w:val="70FF6C77"/>
    <w:rsid w:val="753C682B"/>
    <w:rsid w:val="79D97B03"/>
    <w:rsid w:val="7B065D51"/>
    <w:rsid w:val="7BFD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A2D28"/>
  <w15:docId w15:val="{09AE9A56-E53F-4C72-942E-6CE8E0CBE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eastAsia="仿宋_GB2312" w:hAnsi="Times New Roman" w:cs="Times New Roman"/>
      <w:kern w:val="2"/>
      <w:sz w:val="32"/>
      <w:szCs w:val="24"/>
    </w:rPr>
  </w:style>
  <w:style w:type="paragraph" w:styleId="20">
    <w:name w:val="heading 2"/>
    <w:basedOn w:val="a"/>
    <w:next w:val="a"/>
    <w:link w:val="21"/>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rPr>
      <w:rFonts w:eastAsia="方正仿宋简体"/>
      <w:sz w:val="34"/>
    </w:rPr>
  </w:style>
  <w:style w:type="paragraph" w:styleId="a3">
    <w:name w:val="Body Text Indent"/>
    <w:basedOn w:val="a"/>
    <w:uiPriority w:val="99"/>
    <w:semiHidden/>
    <w:unhideWhenUsed/>
    <w:qFormat/>
    <w:pPr>
      <w:spacing w:after="120"/>
      <w:ind w:leftChars="200" w:left="420"/>
    </w:pPr>
  </w:style>
  <w:style w:type="paragraph" w:styleId="a4">
    <w:name w:val="Normal Indent"/>
    <w:basedOn w:val="a"/>
    <w:qFormat/>
    <w:pPr>
      <w:overflowPunct w:val="0"/>
      <w:autoSpaceDE w:val="0"/>
      <w:autoSpaceDN w:val="0"/>
      <w:ind w:firstLineChars="200" w:firstLine="200"/>
    </w:pPr>
    <w:rPr>
      <w:szCs w:val="32"/>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widowControl/>
      <w:spacing w:before="100" w:beforeAutospacing="1" w:after="100" w:afterAutospacing="1"/>
      <w:jc w:val="left"/>
    </w:pPr>
    <w:rPr>
      <w:rFonts w:ascii="宋体" w:eastAsia="宋体" w:hAnsi="宋体" w:cs="宋体"/>
      <w:kern w:val="0"/>
      <w:sz w:val="24"/>
    </w:rPr>
  </w:style>
  <w:style w:type="character" w:styleId="ac">
    <w:name w:val="Strong"/>
    <w:basedOn w:val="a0"/>
    <w:uiPriority w:val="22"/>
    <w:qFormat/>
    <w:rPr>
      <w:b/>
      <w:bCs/>
    </w:rPr>
  </w:style>
  <w:style w:type="character" w:customStyle="1" w:styleId="aa">
    <w:name w:val="页眉 字符"/>
    <w:basedOn w:val="a0"/>
    <w:link w:val="a9"/>
    <w:uiPriority w:val="99"/>
    <w:qFormat/>
    <w:rPr>
      <w:rFonts w:ascii="Times New Roman" w:eastAsia="仿宋_GB2312" w:hAnsi="Times New Roman" w:cs="Times New Roman"/>
      <w:sz w:val="18"/>
      <w:szCs w:val="18"/>
    </w:rPr>
  </w:style>
  <w:style w:type="character" w:customStyle="1" w:styleId="a8">
    <w:name w:val="页脚 字符"/>
    <w:basedOn w:val="a0"/>
    <w:link w:val="a7"/>
    <w:uiPriority w:val="99"/>
    <w:qFormat/>
    <w:rPr>
      <w:rFonts w:ascii="Times New Roman" w:eastAsia="仿宋_GB2312" w:hAnsi="Times New Roman" w:cs="Times New Roman"/>
      <w:sz w:val="18"/>
      <w:szCs w:val="18"/>
    </w:rPr>
  </w:style>
  <w:style w:type="character" w:customStyle="1" w:styleId="a6">
    <w:name w:val="批注框文本 字符"/>
    <w:basedOn w:val="a0"/>
    <w:link w:val="a5"/>
    <w:uiPriority w:val="99"/>
    <w:semiHidden/>
    <w:qFormat/>
    <w:rPr>
      <w:rFonts w:ascii="Times New Roman" w:eastAsia="仿宋_GB2312" w:hAnsi="Times New Roman" w:cs="Times New Roman"/>
      <w:sz w:val="18"/>
      <w:szCs w:val="18"/>
    </w:rPr>
  </w:style>
  <w:style w:type="paragraph" w:styleId="ad">
    <w:name w:val="List Paragraph"/>
    <w:basedOn w:val="a"/>
    <w:uiPriority w:val="34"/>
    <w:qFormat/>
    <w:pPr>
      <w:ind w:firstLineChars="200" w:firstLine="420"/>
    </w:pPr>
  </w:style>
  <w:style w:type="character" w:customStyle="1" w:styleId="21">
    <w:name w:val="标题 2 字符"/>
    <w:basedOn w:val="a0"/>
    <w:link w:val="20"/>
    <w:uiPriority w:val="9"/>
    <w:qFormat/>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563</Words>
  <Characters>3215</Characters>
  <Application>Microsoft Office Word</Application>
  <DocSecurity>0</DocSecurity>
  <Lines>26</Lines>
  <Paragraphs>7</Paragraphs>
  <ScaleCrop>false</ScaleCrop>
  <Company>MS</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492</cp:revision>
  <cp:lastPrinted>2025-06-18T10:48:00Z</cp:lastPrinted>
  <dcterms:created xsi:type="dcterms:W3CDTF">2018-04-11T01:17:00Z</dcterms:created>
  <dcterms:modified xsi:type="dcterms:W3CDTF">2025-07-03T06:27:00Z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KSOTemplateDocerSaveRecord">
    <vt:lpwstr>eyJoZGlkIjoiODBjZjExZTdjYTk0ZWNmMDg3YWMyMzA0MzEwMjdlNjUifQ==</vt:lpwstr>
  </property>
  <property fmtid="{D5CDD505-2E9C-101B-9397-08002B2CF9AE}" pid="4" name="ICV">
    <vt:lpwstr>3CD6C6197CEA4E8D9A418F1CE9F145A6_12</vt:lpwstr>
  </property>
</Properties>
</file>