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Hlk173337563"/>
      <w:bookmarkEnd w:id="0"/>
      <w:bookmarkStart w:id="1" w:name="_Hlk137969567"/>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0" w:firstLineChars="0"/>
        <w:jc w:val="center"/>
        <w:rPr>
          <w:color w:val="000000" w:themeColor="text1"/>
          <w14:textFill>
            <w14:solidFill>
              <w14:schemeClr w14:val="tx1"/>
            </w14:solidFill>
          </w14:textFill>
        </w:rPr>
      </w:pPr>
    </w:p>
    <w:p>
      <w:pPr>
        <w:pStyle w:val="2"/>
        <w:jc w:val="center"/>
        <w:rPr>
          <w:sz w:val="40"/>
          <w:szCs w:val="44"/>
        </w:rPr>
      </w:pPr>
      <w:bookmarkStart w:id="2" w:name="_Toc347414827"/>
      <w:bookmarkStart w:id="3" w:name="_Toc347149893"/>
      <w:bookmarkStart w:id="4" w:name="_Toc127880839"/>
      <w:bookmarkStart w:id="5" w:name="_Toc140241236"/>
      <w:bookmarkStart w:id="6" w:name="_Toc128323737"/>
      <w:bookmarkStart w:id="7" w:name="_Toc138753098"/>
      <w:bookmarkStart w:id="8" w:name="_Toc138754589"/>
      <w:bookmarkStart w:id="9" w:name="_Toc129008393"/>
      <w:bookmarkStart w:id="10" w:name="_Toc128428197"/>
      <w:r>
        <w:rPr>
          <w:rFonts w:hint="eastAsia"/>
          <w:sz w:val="40"/>
          <w:szCs w:val="44"/>
        </w:rPr>
        <w:t>天津市西青区津城南部产城示范区</w:t>
      </w:r>
    </w:p>
    <w:p>
      <w:pPr>
        <w:pStyle w:val="2"/>
        <w:jc w:val="center"/>
        <w:rPr>
          <w:sz w:val="40"/>
          <w:szCs w:val="44"/>
        </w:rPr>
      </w:pPr>
      <w:r>
        <w:rPr>
          <w:rFonts w:hint="eastAsia"/>
          <w:sz w:val="40"/>
          <w:szCs w:val="44"/>
        </w:rPr>
        <w:t>地下空间</w:t>
      </w:r>
      <w:bookmarkEnd w:id="2"/>
      <w:bookmarkEnd w:id="3"/>
      <w:bookmarkEnd w:id="4"/>
      <w:bookmarkStart w:id="11" w:name="_Toc347414828"/>
      <w:bookmarkStart w:id="12" w:name="_Toc347149894"/>
      <w:bookmarkStart w:id="13" w:name="_Toc127880840"/>
      <w:r>
        <w:rPr>
          <w:rFonts w:hint="eastAsia"/>
          <w:sz w:val="40"/>
          <w:szCs w:val="44"/>
        </w:rPr>
        <w:t>专项规划</w:t>
      </w:r>
      <w:bookmarkEnd w:id="5"/>
      <w:bookmarkEnd w:id="6"/>
      <w:bookmarkEnd w:id="7"/>
      <w:bookmarkEnd w:id="8"/>
      <w:bookmarkEnd w:id="9"/>
      <w:bookmarkEnd w:id="10"/>
      <w:bookmarkEnd w:id="11"/>
      <w:bookmarkEnd w:id="12"/>
      <w:bookmarkEnd w:id="13"/>
    </w:p>
    <w:p>
      <w:pPr>
        <w:pStyle w:val="2"/>
        <w:jc w:val="center"/>
        <w:rPr>
          <w:sz w:val="40"/>
          <w:szCs w:val="44"/>
        </w:rPr>
      </w:pPr>
      <w:bookmarkStart w:id="14" w:name="_Toc129008394"/>
      <w:bookmarkStart w:id="15" w:name="_Toc138753099"/>
      <w:bookmarkStart w:id="16" w:name="_Toc128428198"/>
      <w:bookmarkStart w:id="17" w:name="_Toc138754590"/>
      <w:bookmarkStart w:id="18" w:name="_Toc128323738"/>
      <w:bookmarkStart w:id="19" w:name="_Toc140241237"/>
      <w:r>
        <w:rPr>
          <w:rFonts w:hint="eastAsia"/>
          <w:sz w:val="40"/>
          <w:szCs w:val="44"/>
        </w:rPr>
        <w:t>（</w:t>
      </w:r>
      <w:r>
        <w:rPr>
          <w:sz w:val="40"/>
          <w:szCs w:val="44"/>
        </w:rPr>
        <w:t>2021</w:t>
      </w:r>
      <w:r>
        <w:rPr>
          <w:rFonts w:hint="eastAsia"/>
          <w:sz w:val="40"/>
          <w:szCs w:val="44"/>
        </w:rPr>
        <w:t>-2</w:t>
      </w:r>
      <w:r>
        <w:rPr>
          <w:sz w:val="40"/>
          <w:szCs w:val="44"/>
        </w:rPr>
        <w:t>035</w:t>
      </w:r>
      <w:r>
        <w:rPr>
          <w:rFonts w:hint="eastAsia"/>
          <w:sz w:val="40"/>
          <w:szCs w:val="44"/>
        </w:rPr>
        <w:t>年）</w:t>
      </w:r>
      <w:bookmarkEnd w:id="14"/>
      <w:bookmarkEnd w:id="15"/>
      <w:bookmarkEnd w:id="16"/>
      <w:bookmarkEnd w:id="17"/>
      <w:bookmarkEnd w:id="18"/>
      <w:bookmarkEnd w:id="19"/>
    </w:p>
    <w:p>
      <w:pPr>
        <w:pStyle w:val="2"/>
        <w:jc w:val="center"/>
        <w:rPr>
          <w:sz w:val="40"/>
          <w:szCs w:val="44"/>
        </w:rPr>
      </w:pPr>
      <w:bookmarkStart w:id="20" w:name="_Toc128323739"/>
      <w:bookmarkStart w:id="21" w:name="_Toc129008395"/>
      <w:bookmarkStart w:id="22" w:name="_Toc138753100"/>
      <w:bookmarkStart w:id="23" w:name="_Toc128428199"/>
      <w:r>
        <w:rPr>
          <w:rFonts w:hint="eastAsia"/>
          <w:sz w:val="40"/>
          <w:szCs w:val="44"/>
        </w:rPr>
        <w:t>公示稿</w:t>
      </w:r>
      <w:bookmarkEnd w:id="20"/>
      <w:bookmarkEnd w:id="21"/>
      <w:bookmarkEnd w:id="22"/>
      <w:bookmarkEnd w:id="23"/>
    </w:p>
    <w:p>
      <w:pPr>
        <w:ind w:firstLine="0" w:firstLineChars="0"/>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1"/>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bookmarkStart w:id="24" w:name="_Toc129008396"/>
      <w:bookmarkStart w:id="25" w:name="_Hlk138753462"/>
      <w:bookmarkStart w:id="26" w:name="_Toc138753101"/>
      <w:bookmarkStart w:id="27" w:name="_Toc347149895"/>
      <w:bookmarkStart w:id="28" w:name="_Toc347414829"/>
      <w:bookmarkStart w:id="29" w:name="_Toc127880841"/>
      <w:bookmarkStart w:id="30" w:name="_Toc128323740"/>
      <w:bookmarkStart w:id="31" w:name="_Toc128428200"/>
      <w:bookmarkStart w:id="32" w:name="_Toc347127610"/>
    </w:p>
    <w:bookmarkEnd w:id="24"/>
    <w:bookmarkEnd w:id="25"/>
    <w:bookmarkEnd w:id="26"/>
    <w:bookmarkEnd w:id="27"/>
    <w:bookmarkEnd w:id="28"/>
    <w:bookmarkEnd w:id="29"/>
    <w:bookmarkEnd w:id="30"/>
    <w:bookmarkEnd w:id="31"/>
    <w:bookmarkEnd w:id="32"/>
    <w:p>
      <w:pPr>
        <w:pStyle w:val="2"/>
      </w:pPr>
      <w:bookmarkStart w:id="33" w:name="_Toc140241246"/>
      <w:r>
        <w:rPr>
          <w:rFonts w:hint="eastAsia"/>
        </w:rPr>
        <w:t>一、 指导思想和规划目标</w:t>
      </w:r>
      <w:bookmarkEnd w:id="33"/>
    </w:p>
    <w:p>
      <w:pPr>
        <w:pStyle w:val="3"/>
      </w:pPr>
      <w:bookmarkStart w:id="34" w:name="_Toc140241247"/>
      <w:r>
        <w:rPr>
          <w:rFonts w:hint="eastAsia"/>
        </w:rPr>
        <w:t>（一）</w:t>
      </w:r>
      <w:r>
        <w:t>指导思想</w:t>
      </w:r>
      <w:bookmarkEnd w:id="34"/>
    </w:p>
    <w:p>
      <w:pPr>
        <w:rPr>
          <w:color w:val="000000" w:themeColor="text1"/>
          <w:szCs w:val="28"/>
          <w14:textFill>
            <w14:solidFill>
              <w14:schemeClr w14:val="tx1"/>
            </w14:solidFill>
          </w14:textFill>
        </w:rPr>
      </w:pPr>
      <w:bookmarkStart w:id="35" w:name="_Hlk137977229"/>
      <w:r>
        <w:rPr>
          <w:rFonts w:hint="eastAsia"/>
          <w:color w:val="000000" w:themeColor="text1"/>
          <w:szCs w:val="28"/>
          <w14:textFill>
            <w14:solidFill>
              <w14:schemeClr w14:val="tx1"/>
            </w14:solidFill>
          </w14:textFill>
        </w:rPr>
        <w:t>坚持</w:t>
      </w:r>
      <w:r>
        <w:rPr>
          <w:color w:val="000000" w:themeColor="text1"/>
          <w:szCs w:val="28"/>
          <w14:textFill>
            <w14:solidFill>
              <w14:schemeClr w14:val="tx1"/>
            </w14:solidFill>
          </w14:textFill>
        </w:rPr>
        <w:t>以习近平新时代中国特色社会主义思想为指导，</w:t>
      </w:r>
      <w:r>
        <w:rPr>
          <w:rFonts w:hint="eastAsia" w:ascii="Arial" w:hAnsi="Arial" w:cs="Arial"/>
          <w:color w:val="222222"/>
          <w:szCs w:val="28"/>
          <w:shd w:val="clear" w:color="auto" w:fill="FFFFFF"/>
        </w:rPr>
        <w:t>深入贯彻落实</w:t>
      </w:r>
      <w:r>
        <w:rPr>
          <w:color w:val="000000" w:themeColor="text1"/>
          <w:szCs w:val="28"/>
          <w14:textFill>
            <w14:solidFill>
              <w14:schemeClr w14:val="tx1"/>
            </w14:solidFill>
          </w14:textFill>
        </w:rPr>
        <w:t>党的</w:t>
      </w:r>
      <w:r>
        <w:rPr>
          <w:rFonts w:hint="eastAsia"/>
          <w:color w:val="000000" w:themeColor="text1"/>
          <w:szCs w:val="28"/>
          <w14:textFill>
            <w14:solidFill>
              <w14:schemeClr w14:val="tx1"/>
            </w14:solidFill>
          </w14:textFill>
        </w:rPr>
        <w:t>二十</w:t>
      </w:r>
      <w:r>
        <w:rPr>
          <w:color w:val="000000" w:themeColor="text1"/>
          <w:szCs w:val="28"/>
          <w14:textFill>
            <w14:solidFill>
              <w14:schemeClr w14:val="tx1"/>
            </w14:solidFill>
          </w14:textFill>
        </w:rPr>
        <w:t>大精神，</w:t>
      </w:r>
      <w:r>
        <w:rPr>
          <w:rFonts w:hint="eastAsia"/>
          <w:color w:val="000000" w:themeColor="text1"/>
          <w:szCs w:val="28"/>
          <w14:textFill>
            <w14:solidFill>
              <w14:schemeClr w14:val="tx1"/>
            </w14:solidFill>
          </w14:textFill>
        </w:rPr>
        <w:t>严格遵循上位</w:t>
      </w:r>
      <w:r>
        <w:rPr>
          <w:color w:val="000000" w:themeColor="text1"/>
          <w:szCs w:val="28"/>
          <w14:textFill>
            <w14:solidFill>
              <w14:schemeClr w14:val="tx1"/>
            </w14:solidFill>
          </w14:textFill>
        </w:rPr>
        <w:t>规划的发展定位，按照高质量发展</w:t>
      </w:r>
      <w:r>
        <w:rPr>
          <w:rFonts w:hint="eastAsia"/>
          <w:color w:val="000000" w:themeColor="text1"/>
          <w:szCs w:val="28"/>
          <w14:textFill>
            <w14:solidFill>
              <w14:schemeClr w14:val="tx1"/>
            </w14:solidFill>
          </w14:textFill>
        </w:rPr>
        <w:t>的标准</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以城市建设两建同步为主线，以兼顾人防要求和开发利用城市地下空间为核心，</w:t>
      </w:r>
      <w:r>
        <w:rPr>
          <w:color w:val="000000" w:themeColor="text1"/>
          <w:szCs w:val="28"/>
          <w14:textFill>
            <w14:solidFill>
              <w14:schemeClr w14:val="tx1"/>
            </w14:solidFill>
          </w14:textFill>
        </w:rPr>
        <w:t>发挥城市的整体效益和防护功能</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促进产业、交通、公共服务联系，</w:t>
      </w:r>
      <w:r>
        <w:rPr>
          <w:rFonts w:hint="eastAsia"/>
          <w:color w:val="000000" w:themeColor="text1"/>
          <w:szCs w:val="28"/>
          <w14:textFill>
            <w14:solidFill>
              <w14:schemeClr w14:val="tx1"/>
            </w14:solidFill>
          </w14:textFill>
        </w:rPr>
        <w:t>满足人民生活需求，统筹空间，</w:t>
      </w:r>
      <w:r>
        <w:rPr>
          <w:color w:val="000000" w:themeColor="text1"/>
          <w:szCs w:val="28"/>
          <w14:textFill>
            <w14:solidFill>
              <w14:schemeClr w14:val="tx1"/>
            </w14:solidFill>
          </w14:textFill>
        </w:rPr>
        <w:t>划分重点，提出</w:t>
      </w:r>
      <w:r>
        <w:rPr>
          <w:rFonts w:hint="eastAsia"/>
          <w:color w:val="000000" w:themeColor="text1"/>
          <w:szCs w:val="28"/>
          <w14:textFill>
            <w14:solidFill>
              <w14:schemeClr w14:val="tx1"/>
            </w14:solidFill>
          </w14:textFill>
        </w:rPr>
        <w:t>指引，形成合理开发利用津城南部产城示范区地下空间的长效机制，为西青区不断提升城市建设现代化水平提供支撑</w:t>
      </w:r>
      <w:r>
        <w:rPr>
          <w:color w:val="000000" w:themeColor="text1"/>
          <w:szCs w:val="28"/>
          <w14:textFill>
            <w14:solidFill>
              <w14:schemeClr w14:val="tx1"/>
            </w14:solidFill>
          </w14:textFill>
        </w:rPr>
        <w:t>。</w:t>
      </w:r>
    </w:p>
    <w:bookmarkEnd w:id="35"/>
    <w:p>
      <w:pPr>
        <w:pStyle w:val="3"/>
      </w:pPr>
      <w:bookmarkStart w:id="36" w:name="_Toc140241248"/>
      <w:r>
        <w:rPr>
          <w:rFonts w:hint="eastAsia"/>
        </w:rPr>
        <w:t>（二）</w:t>
      </w:r>
      <w:r>
        <w:t>规划目标</w:t>
      </w:r>
      <w:bookmarkEnd w:id="36"/>
    </w:p>
    <w:p>
      <w:pPr>
        <w:rPr>
          <w:color w:val="000000" w:themeColor="text1"/>
          <w:szCs w:val="28"/>
          <w14:textFill>
            <w14:solidFill>
              <w14:schemeClr w14:val="tx1"/>
            </w14:solidFill>
          </w14:textFill>
        </w:rPr>
      </w:pPr>
      <w:r>
        <w:rPr>
          <w:color w:val="000000" w:themeColor="text1"/>
          <w:szCs w:val="28"/>
          <w14:textFill>
            <w14:solidFill>
              <w14:schemeClr w14:val="tx1"/>
            </w14:solidFill>
          </w14:textFill>
        </w:rPr>
        <w:t>通过</w:t>
      </w:r>
      <w:r>
        <w:rPr>
          <w:rFonts w:hint="eastAsia"/>
          <w:color w:val="000000" w:themeColor="text1"/>
          <w:szCs w:val="28"/>
          <w14:textFill>
            <w14:solidFill>
              <w14:schemeClr w14:val="tx1"/>
            </w14:solidFill>
          </w14:textFill>
        </w:rPr>
        <w:t>开发利用</w:t>
      </w:r>
      <w:r>
        <w:rPr>
          <w:color w:val="000000" w:themeColor="text1"/>
          <w:szCs w:val="28"/>
          <w14:textFill>
            <w14:solidFill>
              <w14:schemeClr w14:val="tx1"/>
            </w14:solidFill>
          </w14:textFill>
        </w:rPr>
        <w:t>西青</w:t>
      </w:r>
      <w:r>
        <w:rPr>
          <w:rFonts w:hint="eastAsia"/>
          <w:color w:val="000000" w:themeColor="text1"/>
          <w:szCs w:val="28"/>
          <w14:textFill>
            <w14:solidFill>
              <w14:schemeClr w14:val="tx1"/>
            </w14:solidFill>
          </w14:textFill>
        </w:rPr>
        <w:t>区</w:t>
      </w:r>
      <w:r>
        <w:rPr>
          <w:color w:val="000000" w:themeColor="text1"/>
          <w:szCs w:val="28"/>
          <w14:textFill>
            <w14:solidFill>
              <w14:schemeClr w14:val="tx1"/>
            </w14:solidFill>
          </w14:textFill>
        </w:rPr>
        <w:t>津城南部产城示范区地下空间</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提高土地利用效率，扩大城市空间容量，加强城市集聚作用，</w:t>
      </w:r>
      <w:r>
        <w:rPr>
          <w:rFonts w:hint="eastAsia"/>
          <w:color w:val="000000" w:themeColor="text1"/>
          <w:szCs w:val="28"/>
          <w14:textFill>
            <w14:solidFill>
              <w14:schemeClr w14:val="tx1"/>
            </w14:solidFill>
          </w14:textFill>
        </w:rPr>
        <w:t>保障</w:t>
      </w:r>
      <w:r>
        <w:rPr>
          <w:color w:val="000000" w:themeColor="text1"/>
          <w:szCs w:val="28"/>
          <w14:textFill>
            <w14:solidFill>
              <w14:schemeClr w14:val="tx1"/>
            </w14:solidFill>
          </w14:textFill>
        </w:rPr>
        <w:t>津城南部产城示范区</w:t>
      </w:r>
      <w:r>
        <w:rPr>
          <w:rFonts w:hint="eastAsia"/>
          <w:color w:val="000000" w:themeColor="text1"/>
          <w:szCs w:val="28"/>
          <w14:textFill>
            <w14:solidFill>
              <w14:schemeClr w14:val="tx1"/>
            </w14:solidFill>
          </w14:textFill>
        </w:rPr>
        <w:t>区域</w:t>
      </w:r>
      <w:r>
        <w:rPr>
          <w:color w:val="000000" w:themeColor="text1"/>
          <w:szCs w:val="28"/>
          <w14:textFill>
            <w14:solidFill>
              <w14:schemeClr w14:val="tx1"/>
            </w14:solidFill>
          </w14:textFill>
        </w:rPr>
        <w:t>交通通达性，增强城市安全，并为将来</w:t>
      </w:r>
      <w:r>
        <w:rPr>
          <w:rFonts w:hint="eastAsia"/>
          <w:color w:val="000000" w:themeColor="text1"/>
          <w:szCs w:val="28"/>
          <w14:textFill>
            <w14:solidFill>
              <w14:schemeClr w14:val="tx1"/>
            </w14:solidFill>
          </w14:textFill>
        </w:rPr>
        <w:t>西青区</w:t>
      </w:r>
      <w:r>
        <w:rPr>
          <w:color w:val="000000" w:themeColor="text1"/>
          <w:szCs w:val="28"/>
          <w14:textFill>
            <w14:solidFill>
              <w14:schemeClr w14:val="tx1"/>
            </w14:solidFill>
          </w14:textFill>
        </w:rPr>
        <w:t>津城南部产城示范区建设</w:t>
      </w:r>
      <w:r>
        <w:rPr>
          <w:rFonts w:hint="eastAsia"/>
          <w:color w:val="000000" w:themeColor="text1"/>
          <w:szCs w:val="28"/>
          <w14:textFill>
            <w14:solidFill>
              <w14:schemeClr w14:val="tx1"/>
            </w14:solidFill>
          </w14:textFill>
        </w:rPr>
        <w:t>立体</w:t>
      </w:r>
      <w:r>
        <w:rPr>
          <w:color w:val="000000" w:themeColor="text1"/>
          <w:szCs w:val="28"/>
          <w14:textFill>
            <w14:solidFill>
              <w14:schemeClr w14:val="tx1"/>
            </w14:solidFill>
          </w14:textFill>
        </w:rPr>
        <w:t>城市奠定强有力的基础。</w:t>
      </w:r>
    </w:p>
    <w:p>
      <w:pPr>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至2</w:t>
      </w:r>
      <w:r>
        <w:rPr>
          <w:color w:val="000000" w:themeColor="text1"/>
          <w:szCs w:val="28"/>
          <w14:textFill>
            <w14:solidFill>
              <w14:schemeClr w14:val="tx1"/>
            </w14:solidFill>
          </w14:textFill>
        </w:rPr>
        <w:t>025</w:t>
      </w:r>
      <w:r>
        <w:rPr>
          <w:rFonts w:hint="eastAsia"/>
          <w:color w:val="000000" w:themeColor="text1"/>
          <w:szCs w:val="28"/>
          <w14:textFill>
            <w14:solidFill>
              <w14:schemeClr w14:val="tx1"/>
            </w14:solidFill>
          </w14:textFill>
        </w:rPr>
        <w:t>年，津城南部产城示范区规划地下空间总建筑</w:t>
      </w:r>
      <w:bookmarkStart w:id="37" w:name="_Hlk168309386"/>
      <w:r>
        <w:rPr>
          <w:rFonts w:hint="eastAsia"/>
          <w:color w:val="000000" w:themeColor="text1"/>
          <w:szCs w:val="28"/>
          <w14:textFill>
            <w14:solidFill>
              <w14:schemeClr w14:val="tx1"/>
            </w14:solidFill>
          </w14:textFill>
        </w:rPr>
        <w:t>面积上限为</w:t>
      </w:r>
      <w:r>
        <w:rPr>
          <w:color w:val="000000" w:themeColor="text1"/>
          <w:szCs w:val="28"/>
          <w14:textFill>
            <w14:solidFill>
              <w14:schemeClr w14:val="tx1"/>
            </w14:solidFill>
          </w14:textFill>
        </w:rPr>
        <w:t>363</w:t>
      </w:r>
      <w:r>
        <w:rPr>
          <w:rFonts w:hint="eastAsia"/>
          <w:color w:val="000000" w:themeColor="text1"/>
          <w:szCs w:val="28"/>
          <w14:textFill>
            <w14:solidFill>
              <w14:schemeClr w14:val="tx1"/>
            </w14:solidFill>
          </w14:textFill>
        </w:rPr>
        <w:t>万平方米</w:t>
      </w:r>
      <w:bookmarkEnd w:id="37"/>
      <w:r>
        <w:rPr>
          <w:rFonts w:hint="eastAsia"/>
          <w:color w:val="000000" w:themeColor="text1"/>
          <w:szCs w:val="28"/>
          <w14:textFill>
            <w14:solidFill>
              <w14:schemeClr w14:val="tx1"/>
            </w14:solidFill>
          </w14:textFill>
        </w:rPr>
        <w:t>，年均增量约4</w:t>
      </w:r>
      <w:r>
        <w:rPr>
          <w:color w:val="000000" w:themeColor="text1"/>
          <w:szCs w:val="28"/>
          <w14:textFill>
            <w14:solidFill>
              <w14:schemeClr w14:val="tx1"/>
            </w14:solidFill>
          </w14:textFill>
        </w:rPr>
        <w:t>7</w:t>
      </w:r>
      <w:r>
        <w:rPr>
          <w:rFonts w:hint="eastAsia"/>
          <w:color w:val="000000" w:themeColor="text1"/>
          <w:szCs w:val="28"/>
          <w14:textFill>
            <w14:solidFill>
              <w14:schemeClr w14:val="tx1"/>
            </w14:solidFill>
          </w14:textFill>
        </w:rPr>
        <w:t>万平方米。至</w:t>
      </w:r>
      <w:r>
        <w:rPr>
          <w:color w:val="000000" w:themeColor="text1"/>
          <w:szCs w:val="28"/>
          <w14:textFill>
            <w14:solidFill>
              <w14:schemeClr w14:val="tx1"/>
            </w14:solidFill>
          </w14:textFill>
        </w:rPr>
        <w:t>2035 年，</w:t>
      </w:r>
      <w:r>
        <w:rPr>
          <w:rFonts w:hint="eastAsia"/>
          <w:color w:val="000000" w:themeColor="text1"/>
          <w:szCs w:val="28"/>
          <w14:textFill>
            <w14:solidFill>
              <w14:schemeClr w14:val="tx1"/>
            </w14:solidFill>
          </w14:textFill>
        </w:rPr>
        <w:t>津城南部产城示范区规划地</w:t>
      </w:r>
      <w:r>
        <w:rPr>
          <w:color w:val="000000" w:themeColor="text1"/>
          <w:szCs w:val="28"/>
          <w14:textFill>
            <w14:solidFill>
              <w14:schemeClr w14:val="tx1"/>
            </w14:solidFill>
          </w14:textFill>
        </w:rPr>
        <w:t>下空间总建筑面积</w:t>
      </w:r>
      <w:r>
        <w:rPr>
          <w:rFonts w:hint="eastAsia"/>
          <w:color w:val="000000" w:themeColor="text1"/>
          <w:szCs w:val="28"/>
          <w14:textFill>
            <w14:solidFill>
              <w14:schemeClr w14:val="tx1"/>
            </w14:solidFill>
          </w14:textFill>
        </w:rPr>
        <w:t>上限为</w:t>
      </w:r>
      <w:r>
        <w:rPr>
          <w:color w:val="000000" w:themeColor="text1"/>
          <w:szCs w:val="28"/>
          <w14:textFill>
            <w14:solidFill>
              <w14:schemeClr w14:val="tx1"/>
            </w14:solidFill>
          </w14:textFill>
        </w:rPr>
        <w:t xml:space="preserve"> 800 万平方米，年</w:t>
      </w:r>
      <w:r>
        <w:rPr>
          <w:rFonts w:hint="eastAsia"/>
          <w:color w:val="000000" w:themeColor="text1"/>
          <w:szCs w:val="28"/>
          <w14:textFill>
            <w14:solidFill>
              <w14:schemeClr w14:val="tx1"/>
            </w14:solidFill>
          </w14:textFill>
        </w:rPr>
        <w:t>均</w:t>
      </w:r>
      <w:r>
        <w:rPr>
          <w:color w:val="000000" w:themeColor="text1"/>
          <w:szCs w:val="28"/>
          <w14:textFill>
            <w14:solidFill>
              <w14:schemeClr w14:val="tx1"/>
            </w14:solidFill>
          </w14:textFill>
        </w:rPr>
        <w:t>增量约44万平方米。</w:t>
      </w:r>
    </w:p>
    <w:p>
      <w:pPr>
        <w:pStyle w:val="2"/>
      </w:pPr>
      <w:bookmarkStart w:id="38" w:name="_Toc140241249"/>
      <w:r>
        <w:rPr>
          <w:rFonts w:hint="eastAsia"/>
        </w:rPr>
        <w:t>二、地下空间总体布局与管控要求</w:t>
      </w:r>
      <w:bookmarkEnd w:id="38"/>
    </w:p>
    <w:p>
      <w:pPr>
        <w:pStyle w:val="3"/>
      </w:pPr>
      <w:bookmarkStart w:id="39" w:name="_Toc140241250"/>
      <w:r>
        <w:rPr>
          <w:rFonts w:hint="eastAsia"/>
        </w:rPr>
        <w:t>（一）</w:t>
      </w:r>
      <w:r>
        <w:t>构建</w:t>
      </w:r>
      <w:r>
        <w:rPr>
          <w:rFonts w:hint="eastAsia"/>
        </w:rPr>
        <w:t>“</w:t>
      </w:r>
      <w:r>
        <w:t>一</w:t>
      </w:r>
      <w:r>
        <w:rPr>
          <w:rFonts w:hint="eastAsia"/>
        </w:rPr>
        <w:t>核</w:t>
      </w:r>
      <w:r>
        <w:t>、两区、多</w:t>
      </w:r>
      <w:r>
        <w:rPr>
          <w:rFonts w:hint="eastAsia"/>
        </w:rPr>
        <w:t>点”</w:t>
      </w:r>
      <w:r>
        <w:t>的地下空间结构</w:t>
      </w:r>
      <w:bookmarkEnd w:id="3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结合轨道</w:t>
      </w:r>
      <w:r>
        <w:rPr>
          <w:color w:val="000000" w:themeColor="text1"/>
          <w14:textFill>
            <w14:solidFill>
              <w14:schemeClr w14:val="tx1"/>
            </w14:solidFill>
          </w14:textFill>
        </w:rPr>
        <w:t>站点</w:t>
      </w:r>
      <w:r>
        <w:rPr>
          <w:rFonts w:hint="eastAsia"/>
          <w:color w:val="000000" w:themeColor="text1"/>
          <w14:textFill>
            <w14:solidFill>
              <w14:schemeClr w14:val="tx1"/>
            </w14:solidFill>
          </w14:textFill>
        </w:rPr>
        <w:t>及地上</w:t>
      </w:r>
      <w:r>
        <w:rPr>
          <w:color w:val="000000" w:themeColor="text1"/>
          <w14:textFill>
            <w14:solidFill>
              <w14:schemeClr w14:val="tx1"/>
            </w14:solidFill>
          </w14:textFill>
        </w:rPr>
        <w:t>规划用地</w:t>
      </w:r>
      <w:r>
        <w:rPr>
          <w:rFonts w:hint="eastAsia"/>
          <w:color w:val="000000" w:themeColor="text1"/>
          <w14:textFill>
            <w14:solidFill>
              <w14:schemeClr w14:val="tx1"/>
            </w14:solidFill>
          </w14:textFill>
        </w:rPr>
        <w:t>功能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形成</w:t>
      </w:r>
      <w:bookmarkStart w:id="40" w:name="_Hlk137987498"/>
      <w:r>
        <w:rPr>
          <w:rFonts w:hint="eastAsia"/>
          <w:color w:val="000000" w:themeColor="text1"/>
          <w14:textFill>
            <w14:solidFill>
              <w14:schemeClr w14:val="tx1"/>
            </w14:solidFill>
          </w14:textFill>
        </w:rPr>
        <w:t>“一核、两区、多点”的</w:t>
      </w:r>
      <w:r>
        <w:rPr>
          <w:color w:val="000000" w:themeColor="text1"/>
          <w14:textFill>
            <w14:solidFill>
              <w14:schemeClr w14:val="tx1"/>
            </w14:solidFill>
          </w14:textFill>
        </w:rPr>
        <w:t>地下空间布局结构</w:t>
      </w:r>
      <w:bookmarkEnd w:id="40"/>
      <w:r>
        <w:rPr>
          <w:color w:val="000000" w:themeColor="text1"/>
          <w14:textFill>
            <w14:solidFill>
              <w14:schemeClr w14:val="tx1"/>
            </w14:solidFill>
          </w14:textFill>
        </w:rPr>
        <w:t>，保护公共绿地及生态廊道，鼓励合理、有效、</w:t>
      </w:r>
      <w:r>
        <w:rPr>
          <w:rFonts w:hint="eastAsia"/>
          <w:color w:val="000000" w:themeColor="text1"/>
          <w14:textFill>
            <w14:solidFill>
              <w14:schemeClr w14:val="tx1"/>
            </w14:solidFill>
          </w14:textFill>
        </w:rPr>
        <w:t>可持续</w:t>
      </w:r>
      <w:r>
        <w:rPr>
          <w:color w:val="000000" w:themeColor="text1"/>
          <w14:textFill>
            <w14:solidFill>
              <w14:schemeClr w14:val="tx1"/>
            </w14:solidFill>
          </w14:textFill>
        </w:rPr>
        <w:t>的复合利用，强调地下空间与地面功能的协调性。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一核为结合大寺地铁车场联动周边居住、产业功能布局地下空间建设核心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两区，为围绕大寺镇、西青开发区布局地下空间建设核心区及其他周边地区。多点，结合</w:t>
      </w:r>
      <w:r>
        <w:rPr>
          <w:color w:val="000000" w:themeColor="text1"/>
          <w14:textFill>
            <w14:solidFill>
              <w14:schemeClr w14:val="tx1"/>
            </w14:solidFill>
          </w14:textFill>
        </w:rPr>
        <w:t>地铁站点及地面主要居住、工业等</w:t>
      </w:r>
      <w:r>
        <w:rPr>
          <w:rFonts w:hint="eastAsia"/>
          <w:color w:val="000000" w:themeColor="text1"/>
          <w14:textFill>
            <w14:solidFill>
              <w14:schemeClr w14:val="tx1"/>
            </w14:solidFill>
          </w14:textFill>
        </w:rPr>
        <w:t>城市重点建设</w:t>
      </w:r>
      <w:r>
        <w:rPr>
          <w:color w:val="000000" w:themeColor="text1"/>
          <w14:textFill>
            <w14:solidFill>
              <w14:schemeClr w14:val="tx1"/>
            </w14:solidFill>
          </w14:textFill>
        </w:rPr>
        <w:t>地区</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TOD</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开发模式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形成以地铁、公交站点为中心</w:t>
      </w:r>
      <w:r>
        <w:rPr>
          <w:rFonts w:hint="eastAsia"/>
          <w:color w:val="000000" w:themeColor="text1"/>
          <w14:textFill>
            <w14:solidFill>
              <w14:schemeClr w14:val="tx1"/>
            </w14:solidFill>
          </w14:textFill>
        </w:rPr>
        <w:t>多个</w:t>
      </w:r>
      <w:r>
        <w:rPr>
          <w:color w:val="000000" w:themeColor="text1"/>
          <w14:textFill>
            <w14:solidFill>
              <w14:schemeClr w14:val="tx1"/>
            </w14:solidFill>
          </w14:textFill>
        </w:rPr>
        <w:t>地下空间开发节点。</w:t>
      </w:r>
    </w:p>
    <w:p>
      <w:pPr>
        <w:pStyle w:val="3"/>
        <w:rPr>
          <w:color w:val="000000" w:themeColor="text1"/>
          <w14:textFill>
            <w14:solidFill>
              <w14:schemeClr w14:val="tx1"/>
            </w14:solidFill>
          </w14:textFill>
        </w:rPr>
      </w:pPr>
      <w:bookmarkStart w:id="41" w:name="_Toc140241251"/>
      <w:r>
        <w:rPr>
          <w:rFonts w:hint="eastAsia"/>
          <w:color w:val="000000" w:themeColor="text1"/>
          <w14:textFill>
            <w14:solidFill>
              <w14:schemeClr w14:val="tx1"/>
            </w14:solidFill>
          </w14:textFill>
        </w:rPr>
        <w:t>（二）</w:t>
      </w:r>
      <w:r>
        <w:rPr>
          <w:rFonts w:hint="eastAsia"/>
        </w:rPr>
        <w:t>划定地下空间发展引导分区</w:t>
      </w:r>
      <w:bookmarkEnd w:id="4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落实区级国土空间总体规划建设要求，划定地下空间集中建设区及管制区。</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集中建设区。</w:t>
      </w:r>
      <w:r>
        <w:rPr>
          <w:rFonts w:hint="eastAsia"/>
          <w:color w:val="000000" w:themeColor="text1"/>
          <w14:textFill>
            <w14:solidFill>
              <w14:schemeClr w14:val="tx1"/>
            </w14:solidFill>
          </w14:textFill>
        </w:rPr>
        <w:t>津城南部产城示范区城镇开发边界内划分地下空间集中建设区。结合地面建筑使用需求，在有条件区域有序开展地下空间建设利用。引导建筑物区域利用地面建筑的地下室建设设备间、停车库、商业空间、仓储空间及平战结合的人防工程；广场区域利用地下空间建设商业、文化娱乐、体育等地下公共服务设施及市政公用设施、停车库、物流仓储等地下基础设施，以及集成多种功能形成地下综合体；道路区域利用地下空间建设地下管线、综合管廊等地下市政公用设施及轨道交通、地下人行通道、地下商业街、地下车库联络道等地下交通设施。</w:t>
      </w:r>
    </w:p>
    <w:p>
      <w:pPr>
        <w:pStyle w:val="6"/>
        <w:ind w:firstLine="562" w:firstLineChars="200"/>
        <w:rPr>
          <w:rFonts w:hint="eastAsia"/>
          <w:lang w:eastAsia="zh-CN"/>
        </w:rPr>
      </w:pPr>
      <w:r>
        <w:rPr>
          <w:rFonts w:hint="eastAsia"/>
          <w:b/>
          <w:bCs/>
          <w:lang w:eastAsia="zh-CN"/>
        </w:rPr>
        <w:t>管制区。</w:t>
      </w:r>
      <w:r>
        <w:rPr>
          <w:rFonts w:hint="eastAsia"/>
          <w:lang w:eastAsia="zh-CN"/>
        </w:rPr>
        <w:t>生态保护控制区域、永久基本农田保护区域、特殊用地区域，除特殊要求和必要的综合管廊、轨道交通等线状地下设施穿越外，原则禁止地下空间开发利用活动。</w:t>
      </w:r>
    </w:p>
    <w:p>
      <w:pPr>
        <w:pStyle w:val="3"/>
        <w:rPr>
          <w:color w:val="000000" w:themeColor="text1"/>
          <w14:textFill>
            <w14:solidFill>
              <w14:schemeClr w14:val="tx1"/>
            </w14:solidFill>
          </w14:textFill>
        </w:rPr>
      </w:pPr>
      <w:bookmarkStart w:id="42" w:name="_Toc140241252"/>
      <w:r>
        <w:rPr>
          <w:rFonts w:hint="eastAsia"/>
          <w:color w:val="000000" w:themeColor="text1"/>
          <w14:textFill>
            <w14:solidFill>
              <w14:schemeClr w14:val="tx1"/>
            </w14:solidFill>
          </w14:textFill>
        </w:rPr>
        <w:t>（三）</w:t>
      </w:r>
      <w:r>
        <w:rPr>
          <w:rFonts w:hint="eastAsia"/>
        </w:rPr>
        <w:t>明确地下空间管控单元</w:t>
      </w:r>
      <w:bookmarkEnd w:id="4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落实西青区国土空间管控要求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结合津城南部产城示范区主体功能区规划，衔接现行控制性详细规划单元，津城南部产城示范区规划</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个地下空间</w:t>
      </w:r>
      <w:r>
        <w:rPr>
          <w:color w:val="000000" w:themeColor="text1"/>
          <w14:textFill>
            <w14:solidFill>
              <w14:schemeClr w14:val="tx1"/>
            </w14:solidFill>
          </w14:textFill>
        </w:rPr>
        <w:t>开发利用单元</w:t>
      </w:r>
      <w:r>
        <w:rPr>
          <w:rFonts w:hint="eastAsia"/>
          <w:color w:val="000000" w:themeColor="text1"/>
          <w14:textFill>
            <w14:solidFill>
              <w14:schemeClr w14:val="tx1"/>
            </w14:solidFill>
          </w14:textFill>
        </w:rPr>
        <w:t>，结合管控要求、地面主导用地性质，将地下空间分为工业单元、居住单元及保留控制单元，分类进行引导建设。</w:t>
      </w:r>
    </w:p>
    <w:p>
      <w:pPr>
        <w:pStyle w:val="3"/>
        <w:rPr>
          <w:color w:val="000000" w:themeColor="text1"/>
          <w14:textFill>
            <w14:solidFill>
              <w14:schemeClr w14:val="tx1"/>
            </w14:solidFill>
          </w14:textFill>
        </w:rPr>
      </w:pPr>
      <w:bookmarkStart w:id="43" w:name="_Toc140241253"/>
      <w:r>
        <w:rPr>
          <w:rFonts w:hint="eastAsia"/>
          <w:color w:val="000000" w:themeColor="text1"/>
          <w14:textFill>
            <w14:solidFill>
              <w14:schemeClr w14:val="tx1"/>
            </w14:solidFill>
          </w14:textFill>
        </w:rPr>
        <w:t>（四）</w:t>
      </w:r>
      <w:r>
        <w:rPr>
          <w:rFonts w:hint="eastAsia"/>
        </w:rPr>
        <w:t>加强地下空间复合功能利用</w:t>
      </w:r>
      <w:bookmarkEnd w:id="4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地下空间使用状况及地上城市用地性质，确定地下空间利用类型主要分为</w:t>
      </w:r>
      <w:r>
        <w:rPr>
          <w:rFonts w:hint="eastAsia"/>
          <w:color w:val="000000" w:themeColor="text1"/>
          <w14:textFill>
            <w14:solidFill>
              <w14:schemeClr w14:val="tx1"/>
            </w14:solidFill>
          </w14:textFill>
        </w:rPr>
        <w:t>地下交通设施空间、地下市政设施空间、地下人防设施空间、地下仓储设施空间、地下公共设施空间、地下商业设施空间。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考虑不同</w:t>
      </w:r>
      <w:r>
        <w:rPr>
          <w:color w:val="000000" w:themeColor="text1"/>
          <w14:textFill>
            <w14:solidFill>
              <w14:schemeClr w14:val="tx1"/>
            </w14:solidFill>
          </w14:textFill>
        </w:rPr>
        <w:t>功能的组合关系和地下空间联通性，</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津城南部产城示范区地下空间</w:t>
      </w:r>
      <w:r>
        <w:rPr>
          <w:rFonts w:hint="eastAsia"/>
          <w:color w:val="000000" w:themeColor="text1"/>
          <w14:textFill>
            <w14:solidFill>
              <w14:schemeClr w14:val="tx1"/>
            </w14:solidFill>
          </w14:textFill>
        </w:rPr>
        <w:t>集中建设区内划分复合功能区、</w:t>
      </w:r>
      <w:r>
        <w:rPr>
          <w:color w:val="000000" w:themeColor="text1"/>
          <w14:textFill>
            <w14:solidFill>
              <w14:schemeClr w14:val="tx1"/>
            </w14:solidFill>
          </w14:textFill>
        </w:rPr>
        <w:t>一般功能区</w:t>
      </w:r>
      <w:r>
        <w:rPr>
          <w:rFonts w:hint="eastAsia"/>
          <w:color w:val="000000" w:themeColor="text1"/>
          <w14:textFill>
            <w14:solidFill>
              <w14:schemeClr w14:val="tx1"/>
            </w14:solidFill>
          </w14:textFill>
        </w:rPr>
        <w:t>、开发控制区，分类分区引导地下空间建设；其他区域为地下空间管制区，落实管制区地下空间建设要求。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复合功能区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color w:val="000000" w:themeColor="text1"/>
          <w14:textFill>
            <w14:solidFill>
              <w14:schemeClr w14:val="tx1"/>
            </w14:solidFill>
          </w14:textFill>
        </w:rPr>
        <w:t>不同地区，根据不同发展需求，混合布局地下商业、地下停车、地下市政等多种功能，开发利用深度</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地下两层为主，</w:t>
      </w:r>
      <w:r>
        <w:rPr>
          <w:rFonts w:hint="eastAsia"/>
          <w:color w:val="000000" w:themeColor="text1"/>
          <w14:textFill>
            <w14:solidFill>
              <w14:schemeClr w14:val="tx1"/>
            </w14:solidFill>
          </w14:textFill>
        </w:rPr>
        <w:t>鼓励</w:t>
      </w:r>
      <w:r>
        <w:rPr>
          <w:color w:val="000000" w:themeColor="text1"/>
          <w14:textFill>
            <w14:solidFill>
              <w14:schemeClr w14:val="tx1"/>
            </w14:solidFill>
          </w14:textFill>
        </w:rPr>
        <w:t>地下空间相互连通。</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一般功能区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地面以</w:t>
      </w:r>
      <w:r>
        <w:rPr>
          <w:color w:val="000000" w:themeColor="text1"/>
          <w14:textFill>
            <w14:solidFill>
              <w14:schemeClr w14:val="tx1"/>
            </w14:solidFill>
          </w14:textFill>
        </w:rPr>
        <w:t>居住及生活配套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工业园区为主，地下</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停车、人防工程、市政公用设施</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为主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功能类型较为单一，</w:t>
      </w:r>
      <w:bookmarkStart w:id="44" w:name="_Hlk138018138"/>
      <w:r>
        <w:rPr>
          <w:color w:val="000000" w:themeColor="text1"/>
          <w14:textFill>
            <w14:solidFill>
              <w14:schemeClr w14:val="tx1"/>
            </w14:solidFill>
          </w14:textFill>
        </w:rPr>
        <w:t>开发利用深度</w:t>
      </w:r>
      <w:r>
        <w:rPr>
          <w:rFonts w:hint="eastAsia"/>
          <w:color w:val="000000" w:themeColor="text1"/>
          <w14:textFill>
            <w14:solidFill>
              <w14:schemeClr w14:val="tx1"/>
            </w14:solidFill>
          </w14:textFill>
        </w:rPr>
        <w:t>以一层</w:t>
      </w:r>
      <w:r>
        <w:rPr>
          <w:color w:val="000000" w:themeColor="text1"/>
          <w14:textFill>
            <w14:solidFill>
              <w14:schemeClr w14:val="tx1"/>
            </w14:solidFill>
          </w14:textFill>
        </w:rPr>
        <w:t>为主</w:t>
      </w:r>
      <w:bookmarkEnd w:id="44"/>
      <w:r>
        <w:rPr>
          <w:color w:val="000000" w:themeColor="text1"/>
          <w14:textFill>
            <w14:solidFill>
              <w14:schemeClr w14:val="tx1"/>
            </w14:solidFill>
          </w14:textFill>
        </w:rPr>
        <w:t>，结合实际功能需要确定地下空间联通性。</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、开发控制</w:t>
      </w:r>
      <w:r>
        <w:rPr>
          <w:color w:val="000000" w:themeColor="text1"/>
          <w14:textFill>
            <w14:solidFill>
              <w14:schemeClr w14:val="tx1"/>
            </w14:solidFill>
          </w14:textFill>
        </w:rPr>
        <w:t>区</w:t>
      </w:r>
    </w:p>
    <w:p>
      <w:pPr>
        <w:rPr>
          <w:color w:val="000000" w:themeColor="text1"/>
          <w14:textFill>
            <w14:solidFill>
              <w14:schemeClr w14:val="tx1"/>
            </w14:solidFill>
          </w14:textFill>
        </w:rPr>
      </w:pPr>
      <w:bookmarkStart w:id="45" w:name="_Hlk138018196"/>
      <w:r>
        <w:rPr>
          <w:rFonts w:hint="eastAsia"/>
          <w:color w:val="000000" w:themeColor="text1"/>
          <w14:textFill>
            <w14:solidFill>
              <w14:schemeClr w14:val="tx1"/>
            </w14:solidFill>
          </w14:textFill>
        </w:rPr>
        <w:t>已有</w:t>
      </w:r>
      <w:r>
        <w:rPr>
          <w:color w:val="000000" w:themeColor="text1"/>
          <w14:textFill>
            <w14:solidFill>
              <w14:schemeClr w14:val="tx1"/>
            </w14:solidFill>
          </w14:textFill>
        </w:rPr>
        <w:t>地下空间利用</w:t>
      </w:r>
      <w:r>
        <w:rPr>
          <w:rFonts w:hint="eastAsia"/>
          <w:color w:val="000000" w:themeColor="text1"/>
          <w14:textFill>
            <w14:solidFill>
              <w14:schemeClr w14:val="tx1"/>
            </w14:solidFill>
          </w14:textFill>
        </w:rPr>
        <w:t>地区或</w:t>
      </w:r>
      <w:r>
        <w:rPr>
          <w:color w:val="000000" w:themeColor="text1"/>
          <w14:textFill>
            <w14:solidFill>
              <w14:schemeClr w14:val="tx1"/>
            </w14:solidFill>
          </w14:textFill>
        </w:rPr>
        <w:t>地下空间</w:t>
      </w:r>
      <w:r>
        <w:rPr>
          <w:rFonts w:hint="eastAsia"/>
          <w:color w:val="000000" w:themeColor="text1"/>
          <w14:textFill>
            <w14:solidFill>
              <w14:schemeClr w14:val="tx1"/>
            </w14:solidFill>
          </w14:textFill>
        </w:rPr>
        <w:t>限制区</w:t>
      </w:r>
      <w:bookmarkEnd w:id="45"/>
      <w:r>
        <w:rPr>
          <w:color w:val="000000" w:themeColor="text1"/>
          <w14:textFill>
            <w14:solidFill>
              <w14:schemeClr w14:val="tx1"/>
            </w14:solidFill>
          </w14:textFill>
        </w:rPr>
        <w:t>，</w:t>
      </w:r>
      <w:r>
        <w:rPr>
          <w:rFonts w:hint="eastAsia"/>
          <w:color w:val="000000" w:themeColor="text1"/>
          <w14:textFill>
            <w14:solidFill>
              <w14:schemeClr w14:val="tx1"/>
            </w14:solidFill>
          </w14:textFill>
        </w:rPr>
        <w:t>结合</w:t>
      </w:r>
      <w:r>
        <w:rPr>
          <w:color w:val="000000" w:themeColor="text1"/>
          <w14:textFill>
            <w14:solidFill>
              <w14:schemeClr w14:val="tx1"/>
            </w14:solidFill>
          </w14:textFill>
        </w:rPr>
        <w:t>城市更新，分</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对其进行拆除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更新或改造，</w:t>
      </w:r>
      <w:r>
        <w:rPr>
          <w:rFonts w:hint="eastAsia"/>
          <w:color w:val="000000" w:themeColor="text1"/>
          <w14:textFill>
            <w14:solidFill>
              <w14:schemeClr w14:val="tx1"/>
            </w14:solidFill>
          </w14:textFill>
        </w:rPr>
        <w:t>严格</w:t>
      </w:r>
      <w:r>
        <w:rPr>
          <w:color w:val="000000" w:themeColor="text1"/>
          <w14:textFill>
            <w14:solidFill>
              <w14:schemeClr w14:val="tx1"/>
            </w14:solidFill>
          </w14:textFill>
        </w:rPr>
        <w:t>落实地下空间建设要求</w:t>
      </w:r>
      <w:r>
        <w:rPr>
          <w:rFonts w:hint="eastAsia"/>
          <w:color w:val="000000" w:themeColor="text1"/>
          <w14:textFill>
            <w14:solidFill>
              <w14:schemeClr w14:val="tx1"/>
            </w14:solidFill>
          </w14:textFill>
        </w:rPr>
        <w:t>，坚持</w:t>
      </w:r>
      <w:r>
        <w:rPr>
          <w:color w:val="000000" w:themeColor="text1"/>
          <w14:textFill>
            <w14:solidFill>
              <w14:schemeClr w14:val="tx1"/>
            </w14:solidFill>
          </w14:textFill>
        </w:rPr>
        <w:t>安全性原则，</w:t>
      </w:r>
      <w:r>
        <w:rPr>
          <w:rStyle w:val="27"/>
          <w:rFonts w:ascii="Courier New" w:hAnsi="Courier New" w:cs="Courier New"/>
        </w:rPr>
        <w:t>谨慎利用地下空间</w:t>
      </w:r>
      <w:r>
        <w:rPr>
          <w:rStyle w:val="27"/>
          <w:rFonts w:hint="eastAsia" w:ascii="Courier New" w:hAnsi="Courier New" w:cs="Courier New"/>
        </w:rPr>
        <w:t>，开发管控</w:t>
      </w:r>
      <w:r>
        <w:rPr>
          <w:rStyle w:val="27"/>
          <w:rFonts w:ascii="Courier New" w:hAnsi="Courier New" w:cs="Courier New"/>
        </w:rPr>
        <w:t>区内开发利用地下空间前，应分析用地特征，按照有关规定开展相应的地质条件、环境条件及安全影响评估，在项目可行性研究阶段应开展地下空间利用专项论证，明确地下空间利用范围、深度、利用风险和工程技术措施</w:t>
      </w:r>
      <w:r>
        <w:rPr>
          <w:rStyle w:val="27"/>
          <w:rFonts w:hint="eastAsia" w:ascii="Courier New" w:hAnsi="Courier New" w:cs="Courier New"/>
        </w:rPr>
        <w:t>，</w:t>
      </w:r>
      <w:r>
        <w:rPr>
          <w:rStyle w:val="27"/>
          <w:rFonts w:ascii="Courier New" w:hAnsi="Courier New" w:cs="Courier New"/>
        </w:rPr>
        <w:t>经论证影响较小且防范与治理措施可行的情况下再合理利用</w:t>
      </w:r>
      <w:r>
        <w:rPr>
          <w:rStyle w:val="27"/>
          <w:rFonts w:hint="eastAsia" w:ascii="Courier New" w:hAnsi="Courier New" w:cs="Courier New"/>
        </w:rPr>
        <w:t>，</w:t>
      </w:r>
      <w:r>
        <w:rPr>
          <w:color w:val="000000" w:themeColor="text1"/>
          <w14:textFill>
            <w14:solidFill>
              <w14:schemeClr w14:val="tx1"/>
            </w14:solidFill>
          </w14:textFill>
        </w:rPr>
        <w:t>避免对地面功能的破坏与影响。</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、管制</w:t>
      </w:r>
      <w:r>
        <w:rPr>
          <w:color w:val="000000" w:themeColor="text1"/>
          <w14:textFill>
            <w14:solidFill>
              <w14:schemeClr w14:val="tx1"/>
            </w14:solidFill>
          </w14:textFill>
        </w:rPr>
        <w:t>区</w:t>
      </w:r>
    </w:p>
    <w:p>
      <w:pPr>
        <w:rPr>
          <w:color w:val="000000" w:themeColor="text1"/>
          <w14:textFill>
            <w14:solidFill>
              <w14:schemeClr w14:val="tx1"/>
            </w14:solidFill>
          </w14:textFill>
        </w:rPr>
      </w:pPr>
      <w:bookmarkStart w:id="46" w:name="_Hlk138951967"/>
      <w:r>
        <w:rPr>
          <w:rFonts w:hint="eastAsia"/>
          <w:color w:val="000000" w:themeColor="text1"/>
          <w14:textFill>
            <w14:solidFill>
              <w14:schemeClr w14:val="tx1"/>
            </w14:solidFill>
          </w14:textFill>
        </w:rPr>
        <w:t>地下空间集中建设区外其他区域。区内除必须且无法避让、符合国土空间规划的线性基础设施建设、人防设施、防洪设施建设以外，原则上禁止地下空间开发利用。</w:t>
      </w:r>
      <w:bookmarkEnd w:id="46"/>
    </w:p>
    <w:p>
      <w:pPr>
        <w:pStyle w:val="3"/>
      </w:pPr>
      <w:r>
        <w:rPr>
          <w:rFonts w:hint="eastAsia"/>
        </w:rPr>
        <w:t>（五）构建竖向利用体系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对津城南部产城示范区</w:t>
      </w:r>
      <w:r>
        <w:rPr>
          <w:color w:val="000000" w:themeColor="text1"/>
          <w14:textFill>
            <w14:solidFill>
              <w14:schemeClr w14:val="tx1"/>
            </w14:solidFill>
          </w14:textFill>
        </w:rPr>
        <w:t>地下空间划分</w:t>
      </w:r>
      <w:r>
        <w:rPr>
          <w:rFonts w:hint="eastAsia"/>
          <w:color w:val="000000" w:themeColor="text1"/>
          <w14:textFill>
            <w14:solidFill>
              <w14:schemeClr w14:val="tx1"/>
            </w14:solidFill>
          </w14:textFill>
        </w:rPr>
        <w:t>四个层次</w:t>
      </w:r>
      <w:r>
        <w:rPr>
          <w:color w:val="000000" w:themeColor="text1"/>
          <w14:textFill>
            <w14:solidFill>
              <w14:schemeClr w14:val="tx1"/>
            </w14:solidFill>
          </w14:textFill>
        </w:rPr>
        <w:t>进行竖向管控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包括：浅层，</w:t>
      </w:r>
      <w:r>
        <w:rPr>
          <w:rFonts w:hint="eastAsia"/>
          <w:color w:val="000000" w:themeColor="text1"/>
          <w14:textFill>
            <w14:solidFill>
              <w14:schemeClr w14:val="tx1"/>
            </w14:solidFill>
          </w14:textFill>
        </w:rPr>
        <w:t>次浅层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次深层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深层。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1、浅层</w:t>
      </w:r>
      <w:r>
        <w:rPr>
          <w:color w:val="000000" w:themeColor="text1"/>
          <w14:textFill>
            <w14:solidFill>
              <w14:schemeClr w14:val="tx1"/>
            </w14:solidFill>
          </w14:textFill>
        </w:rPr>
        <w:t>地下空间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地表至</w:t>
      </w:r>
      <w:r>
        <w:rPr>
          <w:color w:val="000000" w:themeColor="text1"/>
          <w14:textFill>
            <w14:solidFill>
              <w14:schemeClr w14:val="tx1"/>
            </w14:solidFill>
          </w14:textFill>
        </w:rPr>
        <w:t>地下</w:t>
      </w:r>
      <w:r>
        <w:rPr>
          <w:rFonts w:hint="eastAsia"/>
          <w:color w:val="000000" w:themeColor="text1"/>
          <w14:textFill>
            <w14:solidFill>
              <w14:schemeClr w14:val="tx1"/>
            </w14:solidFill>
          </w14:textFill>
        </w:rPr>
        <w:t>10米，</w:t>
      </w:r>
      <w:r>
        <w:rPr>
          <w:color w:val="000000" w:themeColor="text1"/>
          <w14:textFill>
            <w14:solidFill>
              <w14:schemeClr w14:val="tx1"/>
            </w14:solidFill>
          </w14:textFill>
        </w:rPr>
        <w:t>为人类活动密集区。主要开发</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城市公共活动空间，</w:t>
      </w:r>
      <w:r>
        <w:rPr>
          <w:rFonts w:hint="eastAsia"/>
          <w:color w:val="000000" w:themeColor="text1"/>
          <w14:textFill>
            <w14:solidFill>
              <w14:schemeClr w14:val="tx1"/>
            </w14:solidFill>
          </w14:textFill>
        </w:rPr>
        <w:t>安排轨道交通车站</w:t>
      </w:r>
      <w:r>
        <w:rPr>
          <w:color w:val="000000" w:themeColor="text1"/>
          <w14:textFill>
            <w14:solidFill>
              <w14:schemeClr w14:val="tx1"/>
            </w14:solidFill>
          </w14:textFill>
        </w:rPr>
        <w:t>、地下</w:t>
      </w:r>
      <w:r>
        <w:rPr>
          <w:rFonts w:hint="eastAsia"/>
          <w:color w:val="000000" w:themeColor="text1"/>
          <w14:textFill>
            <w14:solidFill>
              <w14:schemeClr w14:val="tx1"/>
            </w14:solidFill>
          </w14:textFill>
        </w:rPr>
        <w:t>人行</w:t>
      </w:r>
      <w:r>
        <w:rPr>
          <w:color w:val="000000" w:themeColor="text1"/>
          <w14:textFill>
            <w14:solidFill>
              <w14:schemeClr w14:val="tx1"/>
            </w14:solidFill>
          </w14:textFill>
        </w:rPr>
        <w:t>道路、地下</w:t>
      </w:r>
      <w:r>
        <w:rPr>
          <w:rFonts w:hint="eastAsia"/>
          <w:color w:val="000000" w:themeColor="text1"/>
          <w14:textFill>
            <w14:solidFill>
              <w14:schemeClr w14:val="tx1"/>
            </w14:solidFill>
          </w14:textFill>
        </w:rPr>
        <w:t>商业街</w:t>
      </w:r>
      <w:r>
        <w:rPr>
          <w:color w:val="000000" w:themeColor="text1"/>
          <w14:textFill>
            <w14:solidFill>
              <w14:schemeClr w14:val="tx1"/>
            </w14:solidFill>
          </w14:textFill>
        </w:rPr>
        <w:t>、地下停车</w:t>
      </w:r>
      <w:r>
        <w:rPr>
          <w:rFonts w:hint="eastAsia"/>
          <w:color w:val="000000" w:themeColor="text1"/>
          <w14:textFill>
            <w14:solidFill>
              <w14:schemeClr w14:val="tx1"/>
            </w14:solidFill>
          </w14:textFill>
        </w:rPr>
        <w:t>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中小型</w:t>
      </w:r>
      <w:r>
        <w:rPr>
          <w:color w:val="000000" w:themeColor="text1"/>
          <w14:textFill>
            <w14:solidFill>
              <w14:schemeClr w14:val="tx1"/>
            </w14:solidFill>
          </w14:textFill>
        </w:rPr>
        <w:t>市政管线管廊等设施，优先布置人员活动相对频繁的空间</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2、次</w:t>
      </w:r>
      <w:r>
        <w:rPr>
          <w:color w:val="000000" w:themeColor="text1"/>
          <w14:textFill>
            <w14:solidFill>
              <w14:schemeClr w14:val="tx1"/>
            </w14:solidFill>
          </w14:textFill>
        </w:rPr>
        <w:t>浅层地下空间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地下10米</w:t>
      </w:r>
      <w:r>
        <w:rPr>
          <w:color w:val="000000" w:themeColor="text1"/>
          <w14:textFill>
            <w14:solidFill>
              <w14:schemeClr w14:val="tx1"/>
            </w14:solidFill>
          </w14:textFill>
        </w:rPr>
        <w:t>至地下30</w:t>
      </w:r>
      <w:r>
        <w:rPr>
          <w:rFonts w:hint="eastAsia"/>
          <w:color w:val="000000" w:themeColor="text1"/>
          <w14:textFill>
            <w14:solidFill>
              <w14:schemeClr w14:val="tx1"/>
            </w14:solidFill>
          </w14:textFill>
        </w:rPr>
        <w:t>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为市政和轨道交通设施空间，安排干线和支线综合管廊、地下市政场站、轨道交通车站、</w:t>
      </w:r>
      <w:r>
        <w:rPr>
          <w:rFonts w:hint="eastAsia"/>
          <w:color w:val="000000" w:themeColor="text1"/>
          <w14:textFill>
            <w14:solidFill>
              <w14:schemeClr w14:val="tx1"/>
            </w14:solidFill>
          </w14:textFill>
        </w:rPr>
        <w:t>地下</w:t>
      </w:r>
      <w:r>
        <w:rPr>
          <w:color w:val="000000" w:themeColor="text1"/>
          <w14:textFill>
            <w14:solidFill>
              <w14:schemeClr w14:val="tx1"/>
            </w14:solidFill>
          </w14:textFill>
        </w:rPr>
        <w:t>停车场、人防工程、地下道路、地下物流仓储</w:t>
      </w:r>
      <w:r>
        <w:rPr>
          <w:rFonts w:hint="eastAsia"/>
          <w:color w:val="000000" w:themeColor="text1"/>
          <w14:textFill>
            <w14:solidFill>
              <w14:schemeClr w14:val="tx1"/>
            </w14:solidFill>
          </w14:textFill>
        </w:rPr>
        <w:t>设施等</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3、次</w:t>
      </w:r>
      <w:r>
        <w:rPr>
          <w:color w:val="000000" w:themeColor="text1"/>
          <w14:textFill>
            <w14:solidFill>
              <w14:schemeClr w14:val="tx1"/>
            </w14:solidFill>
          </w14:textFill>
        </w:rPr>
        <w:t>深层地下空间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地下30米</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50米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以轨道交通、雨洪调蓄、能源管廊等功能为主，兼顾</w:t>
      </w:r>
      <w:r>
        <w:rPr>
          <w:color w:val="000000" w:themeColor="text1"/>
          <w14:textFill>
            <w14:solidFill>
              <w14:schemeClr w14:val="tx1"/>
            </w14:solidFill>
          </w14:textFill>
        </w:rPr>
        <w:t>人防与国防</w:t>
      </w:r>
      <w:r>
        <w:rPr>
          <w:rFonts w:hint="eastAsia"/>
          <w:color w:val="000000" w:themeColor="text1"/>
          <w14:textFill>
            <w14:solidFill>
              <w14:schemeClr w14:val="tx1"/>
            </w14:solidFill>
          </w14:textFill>
        </w:rPr>
        <w:t>需求；</w:t>
      </w:r>
      <w:r>
        <w:rPr>
          <w:color w:val="000000" w:themeColor="text1"/>
          <w14:textFill>
            <w14:solidFill>
              <w14:schemeClr w14:val="tx1"/>
            </w14:solidFill>
          </w14:textFill>
        </w:rPr>
        <w:t>有条件利用，</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特殊情况下，可按</w:t>
      </w:r>
      <w:r>
        <w:rPr>
          <w:rFonts w:hint="eastAsia"/>
          <w:color w:val="000000" w:themeColor="text1"/>
          <w14:textFill>
            <w14:solidFill>
              <w14:schemeClr w14:val="tx1"/>
            </w14:solidFill>
          </w14:textFill>
        </w:rPr>
        <w:t>需求</w:t>
      </w:r>
      <w:r>
        <w:rPr>
          <w:color w:val="000000" w:themeColor="text1"/>
          <w14:textFill>
            <w14:solidFill>
              <w14:schemeClr w14:val="tx1"/>
            </w14:solidFill>
          </w14:textFill>
        </w:rPr>
        <w:t>科学合理开发，兼顾远期预留。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4、深层</w:t>
      </w:r>
      <w:r>
        <w:rPr>
          <w:color w:val="000000" w:themeColor="text1"/>
          <w14:textFill>
            <w14:solidFill>
              <w14:schemeClr w14:val="tx1"/>
            </w14:solidFill>
          </w14:textFill>
        </w:rPr>
        <w:t>地下空间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地下50米</w:t>
      </w:r>
      <w:r>
        <w:rPr>
          <w:color w:val="000000" w:themeColor="text1"/>
          <w14:textFill>
            <w14:solidFill>
              <w14:schemeClr w14:val="tx1"/>
            </w14:solidFill>
          </w14:textFill>
        </w:rPr>
        <w:t>以下</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作为战略资源予以预留保护。</w:t>
      </w:r>
    </w:p>
    <w:p>
      <w:pPr>
        <w:pStyle w:val="3"/>
      </w:pPr>
      <w:bookmarkStart w:id="47" w:name="_Toc140241254"/>
      <w:r>
        <w:rPr>
          <w:rFonts w:hint="eastAsia"/>
        </w:rPr>
        <w:t>（六）</w:t>
      </w:r>
      <w:r>
        <w:t>地下空间</w:t>
      </w:r>
      <w:r>
        <w:rPr>
          <w:rFonts w:hint="eastAsia"/>
        </w:rPr>
        <w:t>建设管控要求</w:t>
      </w:r>
      <w:bookmarkEnd w:id="47"/>
    </w:p>
    <w:p>
      <w:pPr>
        <w:rPr>
          <w:color w:val="000000" w:themeColor="text1"/>
          <w14:textFill>
            <w14:solidFill>
              <w14:schemeClr w14:val="tx1"/>
            </w14:solidFill>
          </w14:textFill>
        </w:rPr>
      </w:pPr>
      <w:bookmarkStart w:id="48" w:name="_Hlk138072211"/>
      <w:r>
        <w:rPr>
          <w:rFonts w:hint="eastAsia"/>
          <w:color w:val="000000" w:themeColor="text1"/>
          <w14:textFill>
            <w14:solidFill>
              <w14:schemeClr w14:val="tx1"/>
            </w14:solidFill>
          </w14:textFill>
        </w:rPr>
        <w:t>依据《天津市地下空间开发利用总体规划（2017—2030年）》</w:t>
      </w:r>
      <w:r>
        <w:rPr>
          <w:color w:val="000000" w:themeColor="text1"/>
          <w14:textFill>
            <w14:solidFill>
              <w14:schemeClr w14:val="tx1"/>
            </w14:solidFill>
          </w14:textFill>
        </w:rPr>
        <w:t>要求，建立地下空间开发利用负面</w:t>
      </w:r>
      <w:r>
        <w:rPr>
          <w:rFonts w:hint="eastAsia"/>
          <w:color w:val="000000" w:themeColor="text1"/>
          <w14:textFill>
            <w14:solidFill>
              <w14:schemeClr w14:val="tx1"/>
            </w14:solidFill>
          </w14:textFill>
        </w:rPr>
        <w:t>清单，如下：</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、各类用地下的地下空间开发利用不得建设住宅卧室、起居室（厅）等项目。</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bookmarkStart w:id="49" w:name="_Hlk144906812"/>
      <w:r>
        <w:rPr>
          <w:rFonts w:hint="eastAsia"/>
          <w:color w:val="000000" w:themeColor="text1"/>
          <w14:textFill>
            <w14:solidFill>
              <w14:schemeClr w14:val="tx1"/>
            </w14:solidFill>
          </w14:textFill>
        </w:rPr>
        <w:t>地下空间开发利用及相邻项目中涉及易燃、易爆和剧毒等危险品储存、运输的，应严格按照国家及天津有关法律、规定的要求，并进行相应安全评估、提出整改措施后，经有关部门批准后方可进行建设。</w:t>
      </w:r>
      <w:bookmarkEnd w:id="49"/>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、地下空间在开发利用前应按照有关标准进行环境影响评价，并对地下空间开发利用后的影响进行评估。</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、地下空间开发利用涉及应急避难场所的，应按有关标准进行安全评估。</w:t>
      </w:r>
    </w:p>
    <w:p>
      <w:pPr>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、避让文物建筑和历史风貌建筑。</w:t>
      </w:r>
    </w:p>
    <w:p>
      <w:p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地铁线路下穿或并行危险品管线，临近危险品场库时，应满足国家及天津相关法律及规范要求，并进行相应的安全评估；轨道车站的布置，应处理好与城市交通、地面建筑、地下构筑物以及地下管线之间的关系，车站临近重大、危险管线时需满足相关规范要求并进行安全评估。</w:t>
      </w:r>
    </w:p>
    <w:p>
      <w:pPr>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地下空间开发利用涉及加油（气）站站外建（构）筑物与站内相关设施的安全间距应满足《汽车加油加气站设计与施工规范》（GB50156-2012）的要求；现状加油站周边建筑物不得随意改变用途，如果改变建筑用途，须满足安全间距要求。</w:t>
      </w:r>
    </w:p>
    <w:bookmarkEnd w:id="48"/>
    <w:p>
      <w:pPr>
        <w:pStyle w:val="2"/>
      </w:pPr>
      <w:bookmarkStart w:id="50" w:name="_Toc140241255"/>
      <w:bookmarkStart w:id="51" w:name="_Hlk141348309"/>
      <w:r>
        <w:rPr>
          <w:rFonts w:hint="eastAsia"/>
        </w:rPr>
        <w:t>三、地下空间交通系统规划</w:t>
      </w:r>
      <w:bookmarkEnd w:id="50"/>
    </w:p>
    <w:p>
      <w:pPr>
        <w:pStyle w:val="3"/>
      </w:pPr>
      <w:bookmarkStart w:id="52" w:name="_Toc140241256"/>
      <w:bookmarkStart w:id="53" w:name="_Hlk138072725"/>
      <w:r>
        <w:rPr>
          <w:rFonts w:hint="eastAsia"/>
        </w:rPr>
        <w:t>（一）地下轨道交通设施</w:t>
      </w:r>
      <w:bookmarkEnd w:id="52"/>
    </w:p>
    <w:bookmarkEnd w:id="53"/>
    <w:p>
      <w:r>
        <w:rPr>
          <w:rFonts w:hint="eastAsia"/>
        </w:rPr>
        <w:t>充分利用天津市西青区轨道建设的发展契机，构建轨道交通为基础的绿色公共交通体系，便捷联系津城南部产城示范区和津城核心区，并向津南、静海、大港等外围地区延伸；以轨道交通站点建设为基础构建津城南部产城示范区地下空间开发先导性骨架。倡导轨道站点分级综合开发，发挥轨道交通的导向作用，引导城市地下空间和城市地上空间的可持续发展。</w:t>
      </w:r>
    </w:p>
    <w:p>
      <w:bookmarkStart w:id="54" w:name="_Hlk138689982"/>
      <w:r>
        <w:rPr>
          <w:rFonts w:hint="eastAsia"/>
        </w:rPr>
        <w:t>规划设计阶段，应对轨道车站及周边建筑内不同目的、不同方向人流的交通组织方案进行论证，重大项目应进行人流仿真分析论证。</w:t>
      </w:r>
    </w:p>
    <w:p>
      <w:r>
        <w:rPr>
          <w:rFonts w:hint="eastAsia"/>
        </w:rPr>
        <w:t>对于与轨道站点结合的地下步行连接通道或换乘通道，应满足消防疏散要求，且其通行净宽度应根据高峰小时人流量及设计通行能力计算确定，且不应小于4米；通道内与店铺式商业设施结合建设时，其总净宽度宜不小于12米。</w:t>
      </w:r>
    </w:p>
    <w:bookmarkEnd w:id="54"/>
    <w:p>
      <w:r>
        <w:rPr>
          <w:rFonts w:hint="eastAsia"/>
        </w:rPr>
        <w:t>规划轨道交通线路除已建成的线路段外，涉及采用地下敷设方式的线路段，在竖向上以利用地下浅层、次浅层及次深层（即地下0~50m范围）空间为主；在平面上要求轨道线路段中心线两侧各20米、车站段中心线两侧各25米为轨道规划控制界线，控制线内所进行的活动应满足《天津市规划控制线管理规定》的相关要求。</w:t>
      </w:r>
    </w:p>
    <w:p>
      <w:r>
        <w:rPr>
          <w:rFonts w:hint="eastAsia"/>
        </w:rPr>
        <w:t>需在轨道规划控制界线内、地表以上或地下深层（即地下50米以下范围）进行建设时，应当向市规划、建设行政主管部门提出申请，提交规划设计方案、安全评估方案和轨道交通相关单位的书面意见，并开展专题研究。</w:t>
      </w:r>
    </w:p>
    <w:p>
      <w:r>
        <w:rPr>
          <w:rFonts w:hint="eastAsia"/>
        </w:rPr>
        <w:t>在轨道交通安全保护区内进行下列作业的，应当向市建设行政主管部门提出申请，并提交施工作业方案、安全防护方案和轨道交通运营单位的书面意见。另外，根据实际情况，轨道交通车站的出入口及风亭等附属设施可能进入车站两侧用地范围，规划要求车站两侧地块的规划设计方案须与车站规划设计方案紧密结合。</w:t>
      </w:r>
    </w:p>
    <w:p>
      <w:pPr>
        <w:pStyle w:val="3"/>
      </w:pPr>
      <w:bookmarkStart w:id="55" w:name="_Toc140241258"/>
      <w:bookmarkStart w:id="56" w:name="_Hlk138691189"/>
      <w:r>
        <w:rPr>
          <w:rFonts w:hint="eastAsia"/>
        </w:rPr>
        <w:t>（二）地下步行系统</w:t>
      </w:r>
      <w:bookmarkEnd w:id="55"/>
    </w:p>
    <w:p>
      <w:r>
        <w:rPr>
          <w:rFonts w:hint="eastAsia"/>
        </w:rPr>
        <w:t>地下步行系统是指修建于地面以下，提供人行通行能力以实现人、车分流，与轨道车站、地下停车库及相邻建筑能够连通的步行交通系统。</w:t>
      </w:r>
    </w:p>
    <w:p>
      <w:r>
        <w:rPr>
          <w:rFonts w:hint="eastAsia"/>
        </w:rPr>
        <w:t>按模式的不同分为两类，一类是地下商业街，即以地下商业街的开发形式来组织地下空间网络；另一类是地下步行连接通道，即利用地下步行通道来连接相邻空间各功能体。</w:t>
      </w:r>
      <w:bookmarkEnd w:id="56"/>
    </w:p>
    <w:p>
      <w:pPr>
        <w:pStyle w:val="3"/>
      </w:pPr>
      <w:bookmarkStart w:id="57" w:name="_Toc140241259"/>
      <w:bookmarkStart w:id="58" w:name="_Hlk138691433"/>
      <w:r>
        <w:rPr>
          <w:rFonts w:hint="eastAsia"/>
        </w:rPr>
        <w:t>（三）地下公共停车系统</w:t>
      </w:r>
      <w:bookmarkEnd w:id="57"/>
    </w:p>
    <w:p>
      <w:r>
        <w:rPr>
          <w:rFonts w:hint="eastAsia"/>
        </w:rPr>
        <w:t>本次规划结合《西青区公共停车设施专项规划（2021-2035）》，大力发展地下公共停车系统，有效提高停车供给，逐步减少地面无序占路停车现象，以高效利用地面空间资源，改善交通出行环境和城市生活环境，实现归还空间权利于“人”。</w:t>
      </w:r>
    </w:p>
    <w:p>
      <w:pPr>
        <w:rPr>
          <w:b/>
          <w:bCs/>
        </w:rPr>
      </w:pPr>
      <w:r>
        <w:rPr>
          <w:rFonts w:hint="eastAsia"/>
        </w:rPr>
        <w:t>根据《西青区公共停车设施专项规划（2021-2035）》，津城南部产城示范区内共安排公共停车场42处，地下公共停车系统的布局及相关控制要求以批复的现行《西青区控制性详细规划》、《西青区公共停车设施专项规划（2021-2035）》为准。当上述规划有调整时，地下空间规划所涉及的内容做相应调整。</w:t>
      </w:r>
    </w:p>
    <w:p>
      <w:r>
        <w:rPr>
          <w:rFonts w:hint="eastAsia"/>
        </w:rPr>
        <w:t>地下公共停车系统以利用地下浅层和次浅层（即地下0~30m范围）空间为主。同时，应满足</w:t>
      </w:r>
      <w:r>
        <w:t>《车库建筑设计规范》JGJ 100-2015</w:t>
      </w:r>
      <w:r>
        <w:rPr>
          <w:rFonts w:hint="eastAsia"/>
        </w:rPr>
        <w:t>等规范要求。</w:t>
      </w:r>
    </w:p>
    <w:bookmarkEnd w:id="51"/>
    <w:bookmarkEnd w:id="58"/>
    <w:p>
      <w:pPr>
        <w:pStyle w:val="2"/>
      </w:pPr>
      <w:bookmarkStart w:id="59" w:name="_Hlk138691662"/>
      <w:bookmarkStart w:id="60" w:name="_Hlk140159775"/>
      <w:bookmarkStart w:id="61" w:name="_Toc140241260"/>
      <w:r>
        <w:rPr>
          <w:rFonts w:hint="eastAsia"/>
        </w:rPr>
        <w:t>四、地下空间核心区开发建设指引</w:t>
      </w:r>
      <w:bookmarkEnd w:id="59"/>
      <w:bookmarkEnd w:id="60"/>
      <w:bookmarkEnd w:id="61"/>
    </w:p>
    <w:p>
      <w:pPr>
        <w:pStyle w:val="3"/>
      </w:pPr>
      <w:bookmarkStart w:id="62" w:name="_Hlk140159877"/>
      <w:bookmarkStart w:id="63" w:name="_Toc140241261"/>
      <w:bookmarkStart w:id="64" w:name="_Hlk138691703"/>
      <w:r>
        <w:rPr>
          <w:rFonts w:hint="eastAsia"/>
        </w:rPr>
        <w:t>（一）地下空间核心区开发强度与城市更新建设指引</w:t>
      </w:r>
      <w:bookmarkEnd w:id="62"/>
      <w:bookmarkEnd w:id="6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1、地下空间核心区开发强度建设指引</w:t>
      </w:r>
    </w:p>
    <w:p>
      <w:r>
        <w:rPr>
          <w:rFonts w:hint="eastAsia"/>
        </w:rPr>
        <w:t>构建以轨道站点为核心的TOD开发模式，建立开发强度递减的分级体系。在津城南部产城示范区核心区内划分重点建设区、次级建设区及一般建设区。</w:t>
      </w:r>
    </w:p>
    <w:p>
      <w:r>
        <w:rPr>
          <w:rFonts w:hint="eastAsia"/>
        </w:rPr>
        <w:t>重点建设区为</w:t>
      </w:r>
      <w:bookmarkStart w:id="65" w:name="_Hlk138692068"/>
      <w:r>
        <w:rPr>
          <w:rFonts w:hint="eastAsia"/>
        </w:rPr>
        <w:t>以轨道站点为中心，半径500m内，</w:t>
      </w:r>
      <w:bookmarkStart w:id="66" w:name="_Hlk140159810"/>
      <w:r>
        <w:rPr>
          <w:rFonts w:hint="eastAsia"/>
        </w:rPr>
        <w:t>包括大寺车场地区、兴华七支路与金峰路交口地区、赛达路与爱迪生道交口地区、万达广场地区、中芯花园东侧地区、集成电路产业园北侧地区</w:t>
      </w:r>
      <w:bookmarkEnd w:id="66"/>
      <w:r>
        <w:rPr>
          <w:rFonts w:hint="eastAsia"/>
        </w:rPr>
        <w:t>；</w:t>
      </w:r>
      <w:bookmarkEnd w:id="65"/>
      <w:r>
        <w:rPr>
          <w:rFonts w:hint="eastAsia"/>
        </w:rPr>
        <w:t>次级建设区为，以轨道站点</w:t>
      </w:r>
      <w:bookmarkStart w:id="67" w:name="_Hlk138692260"/>
      <w:r>
        <w:rPr>
          <w:rFonts w:hint="eastAsia"/>
        </w:rPr>
        <w:t>为中心500—1000m内</w:t>
      </w:r>
      <w:bookmarkEnd w:id="67"/>
      <w:r>
        <w:rPr>
          <w:rFonts w:hint="eastAsia"/>
        </w:rPr>
        <w:t>；核心区内其他地区为一般建设区。</w:t>
      </w:r>
    </w:p>
    <w:bookmarkEnd w:id="64"/>
    <w:p>
      <w:pPr>
        <w:rPr>
          <w:color w:val="000000" w:themeColor="text1"/>
          <w14:textFill>
            <w14:solidFill>
              <w14:schemeClr w14:val="tx1"/>
            </w14:solidFill>
          </w14:textFill>
        </w:rPr>
      </w:pPr>
      <w:bookmarkStart w:id="68" w:name="_Hlk138692574"/>
      <w:r>
        <w:rPr>
          <w:rFonts w:hint="eastAsia"/>
          <w:color w:val="000000" w:themeColor="text1"/>
          <w14:textFill>
            <w14:solidFill>
              <w14:schemeClr w14:val="tx1"/>
            </w14:solidFill>
          </w14:textFill>
        </w:rPr>
        <w:t>2、地下空间核心区城市更新建设指引</w:t>
      </w:r>
      <w:bookmarkEnd w:id="6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绿地与广场用地地下空间</w:t>
      </w:r>
      <w:r>
        <w:rPr>
          <w:color w:val="000000" w:themeColor="text1"/>
          <w14:textFill>
            <w14:solidFill>
              <w14:schemeClr w14:val="tx1"/>
            </w14:solidFill>
          </w14:textFill>
        </w:rPr>
        <w:t>利用采取保护性开发原则</w:t>
      </w:r>
      <w:r>
        <w:rPr>
          <w:rFonts w:hint="eastAsia"/>
          <w:color w:val="000000" w:themeColor="text1"/>
          <w14:textFill>
            <w14:solidFill>
              <w14:schemeClr w14:val="tx1"/>
            </w14:solidFill>
          </w14:textFill>
        </w:rPr>
        <w:t>，结合地面绿地与广场用地的更新，同步推动地下空间开发利用。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针对低效使用及闲置绿地情况，结合地面设施更新改造，预留地下交通空间，为提高广场使用效率提供交通可达支撑。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针对无法进入绿地，通过增设地下人行通道，缓解地面防护性绿地造成交通方面的阻碍，优化竖向交通组织，同时提倡布局地下公共服务空间，提高绿地与广场用地的服务范围与服务能力。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针对业盛道两侧、赛达路东侧现状工业低效使用土地，结合工业园区的更新利用，预留地下利用空间，结合实际使用，提倡布局地下仓储、地下人防功能。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针对津晋高速北侧产业园片区内闲置空地，倡导在工业用地使用中</w:t>
      </w:r>
      <w:r>
        <w:rPr>
          <w:color w:val="000000" w:themeColor="text1"/>
          <w14:textFill>
            <w14:solidFill>
              <w14:schemeClr w14:val="tx1"/>
            </w14:solidFill>
          </w14:textFill>
        </w:rPr>
        <w:t>适度配套布局</w:t>
      </w:r>
      <w:r>
        <w:rPr>
          <w:rFonts w:hint="eastAsia"/>
          <w:color w:val="000000" w:themeColor="text1"/>
          <w14:textFill>
            <w14:solidFill>
              <w14:schemeClr w14:val="tx1"/>
            </w14:solidFill>
          </w14:textFill>
        </w:rPr>
        <w:t>地下</w:t>
      </w:r>
      <w:r>
        <w:rPr>
          <w:color w:val="000000" w:themeColor="text1"/>
          <w14:textFill>
            <w14:solidFill>
              <w14:schemeClr w14:val="tx1"/>
            </w14:solidFill>
          </w14:textFill>
        </w:rPr>
        <w:t>仓储、交通、物流、人防设施，</w:t>
      </w:r>
      <w:r>
        <w:rPr>
          <w:rFonts w:hint="eastAsia"/>
          <w:color w:val="000000" w:themeColor="text1"/>
          <w14:textFill>
            <w14:solidFill>
              <w14:schemeClr w14:val="tx1"/>
            </w14:solidFill>
          </w14:textFill>
        </w:rPr>
        <w:t>连通</w:t>
      </w:r>
      <w:r>
        <w:rPr>
          <w:color w:val="000000" w:themeColor="text1"/>
          <w14:textFill>
            <w14:solidFill>
              <w14:schemeClr w14:val="tx1"/>
            </w14:solidFill>
          </w14:textFill>
        </w:rPr>
        <w:t>城市主干道、高速运输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支撑区域仓储</w:t>
      </w:r>
      <w:r>
        <w:rPr>
          <w:rFonts w:hint="eastAsia"/>
          <w:color w:val="000000" w:themeColor="text1"/>
          <w14:textFill>
            <w14:solidFill>
              <w14:schemeClr w14:val="tx1"/>
            </w14:solidFill>
          </w14:textFill>
        </w:rPr>
        <w:t>、物流</w:t>
      </w:r>
      <w:r>
        <w:rPr>
          <w:color w:val="000000" w:themeColor="text1"/>
          <w14:textFill>
            <w14:solidFill>
              <w14:schemeClr w14:val="tx1"/>
            </w14:solidFill>
          </w14:textFill>
        </w:rPr>
        <w:t>网络</w:t>
      </w:r>
      <w:r>
        <w:rPr>
          <w:rFonts w:hint="eastAsia"/>
          <w:color w:val="000000" w:themeColor="text1"/>
          <w14:textFill>
            <w14:solidFill>
              <w14:schemeClr w14:val="tx1"/>
            </w14:solidFill>
          </w14:textFill>
        </w:rPr>
        <w:t>体系</w:t>
      </w:r>
      <w:r>
        <w:rPr>
          <w:color w:val="000000" w:themeColor="text1"/>
          <w14:textFill>
            <w14:solidFill>
              <w14:schemeClr w14:val="tx1"/>
            </w14:solidFill>
          </w14:textFill>
        </w:rPr>
        <w:t>构建</w:t>
      </w:r>
      <w:r>
        <w:rPr>
          <w:rFonts w:hint="eastAsia"/>
          <w:color w:val="000000" w:themeColor="text1"/>
          <w14:textFill>
            <w14:solidFill>
              <w14:schemeClr w14:val="tx1"/>
            </w14:solidFill>
          </w14:textFill>
        </w:rPr>
        <w:t>。</w:t>
      </w:r>
    </w:p>
    <w:p>
      <w:pPr>
        <w:pStyle w:val="3"/>
      </w:pPr>
      <w:bookmarkStart w:id="69" w:name="_Toc140241262"/>
      <w:r>
        <w:rPr>
          <w:rFonts w:hint="eastAsia"/>
        </w:rPr>
        <w:t>（二）重要节点地下空间规划布局</w:t>
      </w:r>
      <w:bookmarkEnd w:id="69"/>
    </w:p>
    <w:p>
      <w:pPr>
        <w:rPr>
          <w:color w:val="000000" w:themeColor="text1"/>
          <w14:textFill>
            <w14:solidFill>
              <w14:schemeClr w14:val="tx1"/>
            </w14:solidFill>
          </w14:textFill>
        </w:rPr>
      </w:pPr>
      <w:r>
        <w:rPr>
          <w:rFonts w:hint="eastAsia"/>
        </w:rPr>
        <w:t>加强对重要节点地区地下空间建设引导，弹性管控，为地面建设提供补充空间，重要节点地区鼓励编制片区地下空间详细设计，</w:t>
      </w:r>
      <w:r>
        <w:rPr>
          <w:rFonts w:hint="eastAsia"/>
          <w:color w:val="000000" w:themeColor="text1"/>
          <w14:textFill>
            <w14:solidFill>
              <w14:schemeClr w14:val="tx1"/>
            </w14:solidFill>
          </w14:textFill>
        </w:rPr>
        <w:t>成果纳入控制性详细规划。</w:t>
      </w:r>
    </w:p>
    <w:p>
      <w:r>
        <w:rPr>
          <w:rFonts w:hint="eastAsia"/>
        </w:rPr>
        <w:t>1、立体车场</w:t>
      </w:r>
      <w:r>
        <w:t>片区</w:t>
      </w:r>
    </w:p>
    <w:p>
      <w:pPr>
        <w:rPr>
          <w:color w:val="000000" w:themeColor="text1"/>
          <w14:textFill>
            <w14:solidFill>
              <w14:schemeClr w14:val="tx1"/>
            </w14:solidFill>
          </w14:textFill>
        </w:rPr>
      </w:pPr>
      <w:bookmarkStart w:id="70" w:name="_Hlk138749053"/>
      <w:r>
        <w:rPr>
          <w:rFonts w:hint="eastAsia"/>
          <w:color w:val="000000" w:themeColor="text1"/>
          <w14:textFill>
            <w14:solidFill>
              <w14:schemeClr w14:val="tx1"/>
            </w14:solidFill>
          </w14:textFill>
        </w:rPr>
        <w:t>依托M</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M12</w:t>
      </w:r>
      <w:r>
        <w:rPr>
          <w:rFonts w:hint="eastAsia"/>
          <w:color w:val="000000" w:themeColor="text1"/>
          <w14:textFill>
            <w14:solidFill>
              <w14:schemeClr w14:val="tx1"/>
            </w14:solidFill>
          </w14:textFill>
        </w:rPr>
        <w:t>站点及</w:t>
      </w:r>
      <w:r>
        <w:rPr>
          <w:color w:val="000000" w:themeColor="text1"/>
          <w14:textFill>
            <w14:solidFill>
              <w14:schemeClr w14:val="tx1"/>
            </w14:solidFill>
          </w14:textFill>
        </w:rPr>
        <w:t>地铁车场，</w:t>
      </w:r>
      <w:r>
        <w:rPr>
          <w:rFonts w:hint="eastAsia"/>
          <w:color w:val="000000" w:themeColor="text1"/>
          <w14:textFill>
            <w14:solidFill>
              <w14:schemeClr w14:val="tx1"/>
            </w14:solidFill>
          </w14:textFill>
        </w:rPr>
        <w:t>以轨道站点为中心，引入地下综合体</w:t>
      </w:r>
      <w:r>
        <w:rPr>
          <w:color w:val="000000" w:themeColor="text1"/>
          <w14:textFill>
            <w14:solidFill>
              <w14:schemeClr w14:val="tx1"/>
            </w14:solidFill>
          </w14:textFill>
        </w:rPr>
        <w:t>、地下</w:t>
      </w:r>
      <w:r>
        <w:rPr>
          <w:rFonts w:hint="eastAsia"/>
          <w:color w:val="000000" w:themeColor="text1"/>
          <w14:textFill>
            <w14:solidFill>
              <w14:schemeClr w14:val="tx1"/>
            </w14:solidFill>
          </w14:textFill>
        </w:rPr>
        <w:t>商业街等</w:t>
      </w:r>
      <w:r>
        <w:rPr>
          <w:color w:val="000000" w:themeColor="text1"/>
          <w14:textFill>
            <w14:solidFill>
              <w14:schemeClr w14:val="tx1"/>
            </w14:solidFill>
          </w14:textFill>
        </w:rPr>
        <w:t>多种开发</w:t>
      </w:r>
      <w:r>
        <w:rPr>
          <w:rFonts w:hint="eastAsia"/>
          <w:color w:val="000000" w:themeColor="text1"/>
          <w14:textFill>
            <w14:solidFill>
              <w14:schemeClr w14:val="tx1"/>
            </w14:solidFill>
          </w14:textFill>
        </w:rPr>
        <w:t>形式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统筹地上地下空间开发，打造片区立体活力空间节点。片区总用地规模约6</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平方公里，地下空间开发总量</w:t>
      </w:r>
      <w:r>
        <w:rPr>
          <w:rFonts w:hint="eastAsia"/>
        </w:rPr>
        <w:t>宜</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万平方米以内。</w:t>
      </w:r>
      <w:bookmarkEnd w:id="70"/>
    </w:p>
    <w:p>
      <w:r>
        <w:rPr>
          <w:rFonts w:hint="eastAsia"/>
        </w:rPr>
        <w:t>2、集成电路产业园片区</w:t>
      </w:r>
    </w:p>
    <w:p>
      <w:pPr>
        <w:rPr>
          <w:color w:val="000000" w:themeColor="text1"/>
          <w14:textFill>
            <w14:solidFill>
              <w14:schemeClr w14:val="tx1"/>
            </w14:solidFill>
          </w14:textFill>
        </w:rPr>
      </w:pPr>
      <w:bookmarkStart w:id="71" w:name="_Hlk138750610"/>
      <w:r>
        <w:rPr>
          <w:rFonts w:hint="eastAsia"/>
          <w:color w:val="000000" w:themeColor="text1"/>
          <w14:textFill>
            <w14:solidFill>
              <w14:schemeClr w14:val="tx1"/>
            </w14:solidFill>
          </w14:textFill>
        </w:rPr>
        <w:t>依托集成电路产业园开发建设，鼓励以提升交通效率为主要目的一体化连片开发，助力片区集约化发展。片区总用地规模约</w:t>
      </w:r>
      <w:r>
        <w:rPr>
          <w:color w:val="000000" w:themeColor="text1"/>
          <w14:textFill>
            <w14:solidFill>
              <w14:schemeClr w14:val="tx1"/>
            </w14:solidFill>
          </w14:textFill>
        </w:rPr>
        <w:t>1.72</w:t>
      </w:r>
      <w:r>
        <w:rPr>
          <w:rFonts w:hint="eastAsia"/>
          <w:color w:val="000000" w:themeColor="text1"/>
          <w14:textFill>
            <w14:solidFill>
              <w14:schemeClr w14:val="tx1"/>
            </w14:solidFill>
          </w14:textFill>
        </w:rPr>
        <w:t>平方公里，地下空间开发总量</w:t>
      </w:r>
      <w:r>
        <w:rPr>
          <w:rFonts w:hint="eastAsia"/>
        </w:rPr>
        <w:t>宜</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万平方米以内。</w:t>
      </w:r>
      <w:bookmarkEnd w:id="71"/>
    </w:p>
    <w:p>
      <w:r>
        <w:rPr>
          <w:rFonts w:hint="eastAsia"/>
        </w:rPr>
        <w:t>3、万达</w:t>
      </w:r>
      <w:r>
        <w:t>综合社区片区</w:t>
      </w:r>
    </w:p>
    <w:p>
      <w:pPr>
        <w:rPr>
          <w:color w:val="000000" w:themeColor="text1"/>
          <w14:textFill>
            <w14:solidFill>
              <w14:schemeClr w14:val="tx1"/>
            </w14:solidFill>
          </w14:textFill>
        </w:rPr>
      </w:pPr>
      <w:bookmarkStart w:id="72" w:name="_Hlk138751879"/>
      <w:r>
        <w:rPr>
          <w:rFonts w:hint="eastAsia"/>
          <w:color w:val="000000" w:themeColor="text1"/>
          <w14:textFill>
            <w14:solidFill>
              <w14:schemeClr w14:val="tx1"/>
            </w14:solidFill>
          </w14:textFill>
        </w:rPr>
        <w:t>以万达广场商业综合体为核心，</w:t>
      </w:r>
      <w:r>
        <w:rPr>
          <w:color w:val="000000" w:themeColor="text1"/>
          <w14:textFill>
            <w14:solidFill>
              <w14:schemeClr w14:val="tx1"/>
            </w14:solidFill>
          </w14:textFill>
        </w:rPr>
        <w:t>鼓励结合轨道站点进行地下人行通道和商业街的建设，补充地面功能，</w:t>
      </w:r>
      <w:r>
        <w:rPr>
          <w:rFonts w:hint="eastAsia"/>
          <w:color w:val="000000" w:themeColor="text1"/>
          <w14:textFill>
            <w14:solidFill>
              <w14:schemeClr w14:val="tx1"/>
            </w14:solidFill>
          </w14:textFill>
        </w:rPr>
        <w:t>同时缓解地面步行横穿城市主干道等通行问题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片区总用地规模约</w:t>
      </w:r>
      <w:r>
        <w:rPr>
          <w:color w:val="000000" w:themeColor="text1"/>
          <w14:textFill>
            <w14:solidFill>
              <w14:schemeClr w14:val="tx1"/>
            </w14:solidFill>
          </w14:textFill>
        </w:rPr>
        <w:t>3.64</w:t>
      </w:r>
      <w:r>
        <w:rPr>
          <w:rFonts w:hint="eastAsia"/>
          <w:color w:val="000000" w:themeColor="text1"/>
          <w14:textFill>
            <w14:solidFill>
              <w14:schemeClr w14:val="tx1"/>
            </w14:solidFill>
          </w14:textFill>
        </w:rPr>
        <w:t>平方公里，地下空间开发总量</w:t>
      </w:r>
      <w:r>
        <w:rPr>
          <w:rFonts w:hint="eastAsia"/>
        </w:rPr>
        <w:t>宜</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150</w:t>
      </w:r>
      <w:r>
        <w:rPr>
          <w:rFonts w:hint="eastAsia"/>
          <w:color w:val="000000" w:themeColor="text1"/>
          <w14:textFill>
            <w14:solidFill>
              <w14:schemeClr w14:val="tx1"/>
            </w14:solidFill>
          </w14:textFill>
        </w:rPr>
        <w:t>万平方米以内。</w:t>
      </w:r>
      <w:bookmarkEnd w:id="72"/>
      <w:bookmarkStart w:id="73" w:name="_Hlk138752384"/>
    </w:p>
    <w:p>
      <w:pPr>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73"/>
    <w:p>
      <w:pPr>
        <w:pStyle w:val="2"/>
      </w:pPr>
      <w:bookmarkStart w:id="74" w:name="_Toc140241263"/>
      <w:r>
        <w:rPr>
          <w:rFonts w:hint="eastAsia"/>
        </w:rPr>
        <w:t>五、地下空间防空防灾</w:t>
      </w:r>
      <w:bookmarkEnd w:id="74"/>
    </w:p>
    <w:p>
      <w:pPr>
        <w:pStyle w:val="3"/>
      </w:pPr>
      <w:bookmarkStart w:id="75" w:name="_Toc140241264"/>
      <w:bookmarkStart w:id="76" w:name="_Hlk138752431"/>
      <w:r>
        <w:rPr>
          <w:rFonts w:hint="eastAsia"/>
        </w:rPr>
        <w:t>（一）</w:t>
      </w:r>
      <w:r>
        <w:t>地下空间防空</w:t>
      </w:r>
      <w:bookmarkEnd w:id="75"/>
    </w:p>
    <w:p>
      <w:pPr>
        <w:rPr>
          <w:color w:val="000000" w:themeColor="text1"/>
          <w14:textFill>
            <w14:solidFill>
              <w14:schemeClr w14:val="tx1"/>
            </w14:solidFill>
          </w14:textFill>
        </w:rPr>
      </w:pPr>
      <w:bookmarkStart w:id="77" w:name="_Hlk168560374"/>
      <w:r>
        <w:rPr>
          <w:rFonts w:hint="eastAsia"/>
          <w:color w:val="000000" w:themeColor="text1"/>
          <w14:textFill>
            <w14:solidFill>
              <w14:schemeClr w14:val="tx1"/>
            </w14:solidFill>
          </w14:textFill>
        </w:rPr>
        <w:t>地下</w:t>
      </w:r>
      <w:r>
        <w:rPr>
          <w:color w:val="000000" w:themeColor="text1"/>
          <w14:textFill>
            <w14:solidFill>
              <w14:schemeClr w14:val="tx1"/>
            </w14:solidFill>
          </w14:textFill>
        </w:rPr>
        <w:t>空间</w:t>
      </w:r>
      <w:r>
        <w:rPr>
          <w:rFonts w:hint="eastAsia"/>
          <w:color w:val="000000" w:themeColor="text1"/>
          <w14:textFill>
            <w14:solidFill>
              <w14:schemeClr w14:val="tx1"/>
            </w14:solidFill>
          </w14:textFill>
        </w:rPr>
        <w:t>建设需兼顾</w:t>
      </w:r>
      <w:r>
        <w:rPr>
          <w:color w:val="000000" w:themeColor="text1"/>
          <w14:textFill>
            <w14:solidFill>
              <w14:schemeClr w14:val="tx1"/>
            </w14:solidFill>
          </w14:textFill>
        </w:rPr>
        <w:t>人民防空功能，</w:t>
      </w:r>
      <w:r>
        <w:rPr>
          <w:rFonts w:hint="eastAsia"/>
          <w:color w:val="000000" w:themeColor="text1"/>
          <w14:textFill>
            <w14:solidFill>
              <w14:schemeClr w14:val="tx1"/>
            </w14:solidFill>
          </w14:textFill>
        </w:rPr>
        <w:t>津城南部产城示范区内城市地下铁路、隧道等地下交通线路以及其他地下空间开发利用，应在满足平时生产、生活前提下应兼顾人民防空需要，</w:t>
      </w:r>
      <w:r>
        <w:rPr>
          <w:rFonts w:cs="Times New Roman"/>
        </w:rPr>
        <w:t>贯彻</w:t>
      </w:r>
      <w:r>
        <w:rPr>
          <w:rFonts w:hint="eastAsia" w:cs="Times New Roman"/>
        </w:rPr>
        <w:t>“</w:t>
      </w:r>
      <w:r>
        <w:rPr>
          <w:rFonts w:cs="Times New Roman"/>
        </w:rPr>
        <w:t>长期准备、重点建设、平战结合</w:t>
      </w:r>
      <w:r>
        <w:rPr>
          <w:rFonts w:hint="eastAsia" w:cs="Times New Roman"/>
        </w:rPr>
        <w:t>”</w:t>
      </w:r>
      <w:r>
        <w:rPr>
          <w:rFonts w:cs="Times New Roman"/>
        </w:rPr>
        <w:t>的方针，坚持与经济建设协调发展、与城市建设相结合的原则，同时应符合天津市</w:t>
      </w:r>
      <w:r>
        <w:rPr>
          <w:rFonts w:hint="eastAsia" w:cs="Times New Roman"/>
        </w:rPr>
        <w:t>西青区</w:t>
      </w:r>
      <w:r>
        <w:rPr>
          <w:rFonts w:cs="Times New Roman"/>
        </w:rPr>
        <w:t>国土空间总体规划和本规划的要求，做到规模适当、布局合理、功能配套</w:t>
      </w:r>
      <w:r>
        <w:rPr>
          <w:rFonts w:hint="eastAsia"/>
          <w:color w:val="000000" w:themeColor="text1"/>
          <w14:textFill>
            <w14:solidFill>
              <w14:schemeClr w14:val="tx1"/>
            </w14:solidFill>
          </w14:textFill>
        </w:rPr>
        <w:t>。</w:t>
      </w:r>
    </w:p>
    <w:bookmarkEnd w:id="77"/>
    <w:p>
      <w:pPr>
        <w:rPr>
          <w:color w:val="000000" w:themeColor="text1"/>
          <w14:textFill>
            <w14:solidFill>
              <w14:schemeClr w14:val="tx1"/>
            </w14:solidFill>
          </w14:textFill>
        </w:rPr>
      </w:pPr>
      <w:r>
        <w:rPr>
          <w:rFonts w:hint="eastAsia"/>
          <w:color w:val="000000" w:themeColor="text1"/>
          <w14:textFill>
            <w14:solidFill>
              <w14:schemeClr w14:val="tx1"/>
            </w14:solidFill>
          </w14:textFill>
        </w:rPr>
        <w:t>合理规划人防设施，确保人防防护功能落实。城市广场、绿地、公园、文化、体育等公共场所应根据人民防空的需要，规划建设人民防空工程或者兼顾人民防空、应急避难需要的地下工程。规划至</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年，津城南部产城示范区内城区6级以上人员掩蔽工程人均掩蔽面积应达到</w:t>
      </w:r>
      <w:r>
        <w:rPr>
          <w:rFonts w:hint="eastAsia" w:ascii="仿宋" w:cs="仿宋"/>
          <w:kern w:val="0"/>
          <w:szCs w:val="28"/>
        </w:rPr>
        <w:t>人均1</w:t>
      </w:r>
      <w:r>
        <w:rPr>
          <w:rFonts w:ascii="仿宋" w:cs="仿宋"/>
          <w:kern w:val="0"/>
          <w:szCs w:val="28"/>
        </w:rPr>
        <w:t>.5</w:t>
      </w:r>
      <w:r>
        <w:rPr>
          <w:rFonts w:hint="eastAsia" w:ascii="仿宋" w:cs="仿宋"/>
          <w:kern w:val="0"/>
          <w:szCs w:val="28"/>
        </w:rPr>
        <w:t>平方米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建筑面积超过10000平方米的新建人民防空工程人员掩蔽面积占比不低于7</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新建10层（含）以上或者基础埋深3米（含）以上民用建筑，按照地面首层建筑面积计算应建人防工程面积；新建9层（含）以下民用建筑，按照一次性规划地面总建筑面积4%计算应建人防工程面积。</w:t>
      </w:r>
    </w:p>
    <w:p>
      <w:pPr>
        <w:pStyle w:val="31"/>
        <w:ind w:firstLine="600"/>
        <w:rPr>
          <w:rFonts w:ascii="Times New Roman" w:hAnsi="Times New Roman" w:cs="Times New Roman"/>
        </w:rPr>
      </w:pPr>
      <w:r>
        <w:rPr>
          <w:rFonts w:ascii="Times New Roman" w:hAnsi="Times New Roman" w:cs="Times New Roman"/>
        </w:rPr>
        <w:t>人民防空工程建设与地下空间开发利用相结合的建设项目可分为三种类型：单建式平战结合项目、结建式平战结合项目以及重点地区地下空间兼顾人民防空需要的项目。</w:t>
      </w:r>
    </w:p>
    <w:p>
      <w:pPr>
        <w:pStyle w:val="31"/>
        <w:ind w:firstLine="600"/>
        <w:rPr>
          <w:rFonts w:ascii="Times New Roman" w:hAnsi="Times New Roman" w:cs="Times New Roman"/>
        </w:rPr>
      </w:pPr>
      <w:r>
        <w:rPr>
          <w:rFonts w:ascii="Times New Roman" w:hAnsi="Times New Roman" w:cs="Times New Roman"/>
        </w:rPr>
        <w:t>单建式平战结合项目宜选址在交通方便、经济繁荣、人气旺盛的地方，宜布置在规划绿地、广场周边，要求拆迁量少，并具有较好的地下施工场地条件。</w:t>
      </w:r>
    </w:p>
    <w:p>
      <w:pPr>
        <w:pStyle w:val="31"/>
        <w:ind w:firstLine="600"/>
        <w:rPr>
          <w:rFonts w:ascii="Times New Roman" w:hAnsi="Times New Roman" w:cs="Times New Roman"/>
        </w:rPr>
      </w:pPr>
      <w:r>
        <w:rPr>
          <w:rFonts w:ascii="Times New Roman" w:hAnsi="Times New Roman" w:cs="Times New Roman"/>
        </w:rPr>
        <w:t>结建式平战结合项目应考虑各工程之间的连通和共同开发，通过与周边其他地下空间开发项目相结合和共同开发，综合形成具有较大规模的地下工程项目，产生较好的社会效益、经济效益和战备效益。</w:t>
      </w:r>
    </w:p>
    <w:p>
      <w:r>
        <w:rPr>
          <w:rFonts w:cs="Times New Roman"/>
        </w:rPr>
        <w:t>重点地区地下空间兼顾人民防空需要的项目一般建设于重点防护地区，如重要经济目标周边、重要交通枢纽地区、商业中心等人流密集地区，宜结合人民防空工程建设，开发利用适应社会、经济、环境发展的兼顾人民防空需要的工程，进一步完善城市功能</w:t>
      </w:r>
      <w:r>
        <w:rPr>
          <w:rFonts w:hint="eastAsia" w:cs="Times New Roman"/>
        </w:rPr>
        <w:t>。</w:t>
      </w:r>
    </w:p>
    <w:p>
      <w:pPr>
        <w:pStyle w:val="3"/>
      </w:pPr>
      <w:bookmarkStart w:id="78" w:name="_Toc140241265"/>
      <w:r>
        <w:rPr>
          <w:rFonts w:hint="eastAsia"/>
        </w:rPr>
        <w:t>（二）</w:t>
      </w:r>
      <w:r>
        <w:t>地下空间防灾</w:t>
      </w:r>
      <w:bookmarkEnd w:id="7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坚持</w:t>
      </w:r>
      <w:r>
        <w:rPr>
          <w:color w:val="000000" w:themeColor="text1"/>
          <w14:textFill>
            <w14:solidFill>
              <w14:schemeClr w14:val="tx1"/>
            </w14:solidFill>
          </w14:textFill>
        </w:rPr>
        <w:t>防抗</w:t>
      </w:r>
      <w:r>
        <w:rPr>
          <w:rFonts w:hint="eastAsia"/>
          <w:color w:val="000000" w:themeColor="text1"/>
          <w14:textFill>
            <w14:solidFill>
              <w14:schemeClr w14:val="tx1"/>
            </w14:solidFill>
          </w14:textFill>
        </w:rPr>
        <w:t>救相结合</w:t>
      </w:r>
      <w:r>
        <w:rPr>
          <w:color w:val="000000" w:themeColor="text1"/>
          <w14:textFill>
            <w14:solidFill>
              <w14:schemeClr w14:val="tx1"/>
            </w14:solidFill>
          </w14:textFill>
        </w:rPr>
        <w:t>的原则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合理安排地下空间功能、布局，</w:t>
      </w:r>
      <w:r>
        <w:rPr>
          <w:rFonts w:hint="eastAsia"/>
          <w:color w:val="000000" w:themeColor="text1"/>
          <w14:textFill>
            <w14:solidFill>
              <w14:schemeClr w14:val="tx1"/>
            </w14:solidFill>
          </w14:textFill>
        </w:rPr>
        <w:t>最大</w:t>
      </w:r>
      <w:r>
        <w:rPr>
          <w:color w:val="000000" w:themeColor="text1"/>
          <w14:textFill>
            <w14:solidFill>
              <w14:schemeClr w14:val="tx1"/>
            </w14:solidFill>
          </w14:textFill>
        </w:rPr>
        <w:t>限度</w:t>
      </w:r>
      <w:r>
        <w:rPr>
          <w:rFonts w:hint="eastAsia"/>
          <w:color w:val="000000" w:themeColor="text1"/>
          <w14:textFill>
            <w14:solidFill>
              <w14:schemeClr w14:val="tx1"/>
            </w14:solidFill>
          </w14:textFill>
        </w:rPr>
        <w:t>减少</w:t>
      </w:r>
      <w:r>
        <w:rPr>
          <w:color w:val="000000" w:themeColor="text1"/>
          <w14:textFill>
            <w14:solidFill>
              <w14:schemeClr w14:val="tx1"/>
            </w14:solidFill>
          </w14:textFill>
        </w:rPr>
        <w:t>地下空间隐患，科学确定</w:t>
      </w:r>
      <w:r>
        <w:rPr>
          <w:rFonts w:hint="eastAsia"/>
          <w:color w:val="000000" w:themeColor="text1"/>
          <w14:textFill>
            <w14:solidFill>
              <w14:schemeClr w14:val="tx1"/>
            </w14:solidFill>
          </w14:textFill>
        </w:rPr>
        <w:t>防灾</w:t>
      </w:r>
      <w:r>
        <w:rPr>
          <w:color w:val="000000" w:themeColor="text1"/>
          <w14:textFill>
            <w14:solidFill>
              <w14:schemeClr w14:val="tx1"/>
            </w14:solidFill>
          </w14:textFill>
        </w:rPr>
        <w:t>安全布局，加强防灾救灾设施规划布置，确保地下空间安全。</w:t>
      </w:r>
    </w:p>
    <w:p>
      <w:pPr>
        <w:rPr>
          <w:color w:val="000000" w:themeColor="text1"/>
          <w14:textFill>
            <w14:solidFill>
              <w14:schemeClr w14:val="tx1"/>
            </w14:solidFill>
          </w14:textFill>
        </w:rPr>
      </w:pPr>
      <w:r>
        <w:rPr>
          <w:color w:val="000000" w:themeColor="text1"/>
          <w14:textFill>
            <w14:solidFill>
              <w14:schemeClr w14:val="tx1"/>
            </w14:solidFill>
          </w14:textFill>
        </w:rPr>
        <w:t>结合地面避难场所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在绿地、操场和广场下</w:t>
      </w:r>
      <w:r>
        <w:rPr>
          <w:rFonts w:hint="eastAsia"/>
          <w:color w:val="000000" w:themeColor="text1"/>
          <w14:textFill>
            <w14:solidFill>
              <w14:schemeClr w14:val="tx1"/>
            </w14:solidFill>
          </w14:textFill>
        </w:rPr>
        <w:t>建设人防</w:t>
      </w:r>
      <w:r>
        <w:rPr>
          <w:color w:val="000000" w:themeColor="text1"/>
          <w14:textFill>
            <w14:solidFill>
              <w14:schemeClr w14:val="tx1"/>
            </w14:solidFill>
          </w14:textFill>
        </w:rPr>
        <w:t>物资库、人员紧急避难场所及配套地下停车场，以解决临时避难、食品和生活必需品等救灾物资的储备和交通运输空间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坚持平战结合的</w:t>
      </w:r>
      <w:r>
        <w:rPr>
          <w:rFonts w:hint="eastAsia"/>
          <w:color w:val="000000" w:themeColor="text1"/>
          <w14:textFill>
            <w14:solidFill>
              <w14:schemeClr w14:val="tx1"/>
            </w14:solidFill>
          </w14:textFill>
        </w:rPr>
        <w:t>原则</w:t>
      </w:r>
      <w:r>
        <w:rPr>
          <w:color w:val="000000" w:themeColor="text1"/>
          <w14:textFill>
            <w14:solidFill>
              <w14:schemeClr w14:val="tx1"/>
            </w14:solidFill>
          </w14:textFill>
        </w:rPr>
        <w:t>，发挥地下空间的城市功能。</w:t>
      </w:r>
      <w:r>
        <w:rPr>
          <w:rFonts w:hint="eastAsia"/>
          <w:color w:val="000000" w:themeColor="text1"/>
          <w14:textFill>
            <w14:solidFill>
              <w14:schemeClr w14:val="tx1"/>
            </w14:solidFill>
          </w14:textFill>
        </w:rPr>
        <w:t>同时</w:t>
      </w:r>
      <w:r>
        <w:rPr>
          <w:color w:val="000000" w:themeColor="text1"/>
          <w14:textFill>
            <w14:solidFill>
              <w14:schemeClr w14:val="tx1"/>
            </w14:solidFill>
          </w14:textFill>
        </w:rPr>
        <w:t>注意</w:t>
      </w:r>
      <w:r>
        <w:rPr>
          <w:rFonts w:hint="eastAsia"/>
          <w:color w:val="000000" w:themeColor="text1"/>
          <w14:textFill>
            <w14:solidFill>
              <w14:schemeClr w14:val="tx1"/>
            </w14:solidFill>
          </w14:textFill>
        </w:rPr>
        <w:t>此类</w:t>
      </w:r>
      <w:r>
        <w:rPr>
          <w:color w:val="000000" w:themeColor="text1"/>
          <w14:textFill>
            <w14:solidFill>
              <w14:schemeClr w14:val="tx1"/>
            </w14:solidFill>
          </w14:textFill>
        </w:rPr>
        <w:t>地下空间</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地表出入口的联通性，</w:t>
      </w:r>
      <w:r>
        <w:rPr>
          <w:rFonts w:hint="eastAsia"/>
          <w:color w:val="000000" w:themeColor="text1"/>
          <w14:textFill>
            <w14:solidFill>
              <w14:schemeClr w14:val="tx1"/>
            </w14:solidFill>
          </w14:textFill>
        </w:rPr>
        <w:t>防止</w:t>
      </w:r>
      <w:r>
        <w:rPr>
          <w:color w:val="000000" w:themeColor="text1"/>
          <w14:textFill>
            <w14:solidFill>
              <w14:schemeClr w14:val="tx1"/>
            </w14:solidFill>
          </w14:textFill>
        </w:rPr>
        <w:t>堵塞或破坏。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w:t>
      </w:r>
      <w:r>
        <w:rPr>
          <w:color w:val="000000" w:themeColor="text1"/>
          <w14:textFill>
            <w14:solidFill>
              <w14:schemeClr w14:val="tx1"/>
            </w14:solidFill>
          </w14:textFill>
        </w:rPr>
        <w:t>地下空间功能、布局，科学确定地下空间防火分区，地下空间应与下沉广场等</w:t>
      </w:r>
      <w:r>
        <w:rPr>
          <w:rFonts w:hint="eastAsia"/>
          <w:color w:val="000000" w:themeColor="text1"/>
          <w14:textFill>
            <w14:solidFill>
              <w14:schemeClr w14:val="tx1"/>
            </w14:solidFill>
          </w14:textFill>
        </w:rPr>
        <w:t>室外开敞空间连通</w:t>
      </w:r>
      <w:r>
        <w:rPr>
          <w:color w:val="000000" w:themeColor="text1"/>
          <w14:textFill>
            <w14:solidFill>
              <w14:schemeClr w14:val="tx1"/>
            </w14:solidFill>
          </w14:textFill>
        </w:rPr>
        <w:t>，保证通风排烟和人员疏散功能。结合</w:t>
      </w:r>
      <w:r>
        <w:rPr>
          <w:rFonts w:hint="eastAsia"/>
          <w:color w:val="000000" w:themeColor="text1"/>
          <w14:textFill>
            <w14:solidFill>
              <w14:schemeClr w14:val="tx1"/>
            </w14:solidFill>
          </w14:textFill>
        </w:rPr>
        <w:t>地下</w:t>
      </w:r>
      <w:r>
        <w:rPr>
          <w:color w:val="000000" w:themeColor="text1"/>
          <w14:textFill>
            <w14:solidFill>
              <w14:schemeClr w14:val="tx1"/>
            </w14:solidFill>
          </w14:textFill>
        </w:rPr>
        <w:t>步行通道</w:t>
      </w:r>
      <w:r>
        <w:rPr>
          <w:rFonts w:hint="eastAsia"/>
          <w:color w:val="000000" w:themeColor="text1"/>
          <w14:textFill>
            <w14:solidFill>
              <w14:schemeClr w14:val="tx1"/>
            </w14:solidFill>
          </w14:textFill>
        </w:rPr>
        <w:t>设置</w:t>
      </w:r>
      <w:r>
        <w:rPr>
          <w:color w:val="000000" w:themeColor="text1"/>
          <w14:textFill>
            <w14:solidFill>
              <w14:schemeClr w14:val="tx1"/>
            </w14:solidFill>
          </w14:textFill>
        </w:rPr>
        <w:t>地下综合救援车道，并利用出入口等设置与地表相连的出入口，便于小型消防车、救护车、抢险车等应急救援装备安全快捷通行。</w:t>
      </w:r>
      <w:bookmarkEnd w:id="76"/>
    </w:p>
    <w:p>
      <w:pPr>
        <w:pStyle w:val="2"/>
      </w:pPr>
      <w:bookmarkStart w:id="79" w:name="_Toc140241266"/>
      <w:r>
        <w:rPr>
          <w:rFonts w:hint="eastAsia"/>
        </w:rPr>
        <w:t>六、规划实施措施</w:t>
      </w:r>
      <w:bookmarkEnd w:id="79"/>
    </w:p>
    <w:p>
      <w:pPr>
        <w:pStyle w:val="3"/>
      </w:pPr>
      <w:bookmarkStart w:id="80" w:name="_Toc140241267"/>
      <w:bookmarkStart w:id="81" w:name="_Hlk138752837"/>
      <w:r>
        <w:rPr>
          <w:rFonts w:hint="eastAsia"/>
        </w:rPr>
        <w:t>（一）强化规划衔接与传导</w:t>
      </w:r>
      <w:bookmarkEnd w:id="80"/>
    </w:p>
    <w:p>
      <w:r>
        <w:rPr>
          <w:rFonts w:hint="eastAsia"/>
        </w:rPr>
        <w:t>1、建立自上而下的规划体系</w:t>
      </w:r>
    </w:p>
    <w:p>
      <w:r>
        <w:rPr>
          <w:rStyle w:val="27"/>
          <w:rFonts w:ascii="Courier New" w:hAnsi="Courier New" w:cs="Courier New"/>
        </w:rPr>
        <w:t>强化重点</w:t>
      </w:r>
      <w:r>
        <w:rPr>
          <w:rStyle w:val="27"/>
          <w:rFonts w:hint="eastAsia" w:ascii="Courier New" w:hAnsi="Courier New" w:cs="Courier New"/>
        </w:rPr>
        <w:t>片</w:t>
      </w:r>
      <w:r>
        <w:rPr>
          <w:rStyle w:val="27"/>
          <w:rFonts w:ascii="Courier New" w:hAnsi="Courier New" w:cs="Courier New"/>
        </w:rPr>
        <w:t>区地下空间的统筹规划、统一设计。完善地下空间规划体系，明确各个层级规划管控要求。建立包含</w:t>
      </w:r>
      <w:r>
        <w:rPr>
          <w:rStyle w:val="27"/>
          <w:rFonts w:hint="eastAsia" w:ascii="Courier New" w:hAnsi="Courier New" w:cs="Courier New"/>
        </w:rPr>
        <w:t>“</w:t>
      </w:r>
      <w:r>
        <w:rPr>
          <w:rStyle w:val="27"/>
          <w:rFonts w:ascii="Courier New" w:hAnsi="Courier New" w:cs="Courier New"/>
        </w:rPr>
        <w:t>国土空间总体规划</w:t>
      </w:r>
      <w:r>
        <w:rPr>
          <w:rStyle w:val="27"/>
          <w:rFonts w:hint="eastAsia" w:cs="Times New Roman"/>
        </w:rPr>
        <w:t>—</w:t>
      </w:r>
      <w:r>
        <w:rPr>
          <w:rStyle w:val="27"/>
          <w:rFonts w:ascii="Courier New" w:hAnsi="Courier New" w:cs="Courier New"/>
        </w:rPr>
        <w:t>专项规划</w:t>
      </w:r>
      <w:r>
        <w:rPr>
          <w:rStyle w:val="27"/>
          <w:rFonts w:hint="eastAsia" w:cs="Times New Roman"/>
        </w:rPr>
        <w:t>—</w:t>
      </w:r>
      <w:r>
        <w:rPr>
          <w:rStyle w:val="27"/>
          <w:rFonts w:hint="eastAsia" w:ascii="Courier New" w:hAnsi="Courier New" w:cs="Courier New"/>
        </w:rPr>
        <w:t>重要节点地区</w:t>
      </w:r>
      <w:r>
        <w:rPr>
          <w:rStyle w:val="27"/>
          <w:rFonts w:ascii="Courier New" w:hAnsi="Courier New" w:cs="Courier New"/>
        </w:rPr>
        <w:t>地下空间控制性详细规划</w:t>
      </w:r>
      <w:r>
        <w:rPr>
          <w:rStyle w:val="27"/>
          <w:rFonts w:cs="Times New Roman"/>
        </w:rPr>
        <w:t>+</w:t>
      </w:r>
      <w:r>
        <w:rPr>
          <w:rStyle w:val="27"/>
          <w:rFonts w:ascii="Courier New" w:hAnsi="Courier New" w:cs="Courier New"/>
        </w:rPr>
        <w:t>重大项目地下空间详细规划</w:t>
      </w:r>
      <w:r>
        <w:rPr>
          <w:rStyle w:val="27"/>
          <w:rFonts w:hint="eastAsia" w:cs="Times New Roman"/>
        </w:rPr>
        <w:t>—</w:t>
      </w:r>
      <w:r>
        <w:rPr>
          <w:rStyle w:val="27"/>
          <w:rFonts w:ascii="Courier New" w:hAnsi="Courier New" w:cs="Courier New"/>
        </w:rPr>
        <w:t>规划条件前期研究</w:t>
      </w:r>
      <w:r>
        <w:rPr>
          <w:rStyle w:val="27"/>
          <w:rFonts w:hint="eastAsia" w:ascii="Courier New" w:hAnsi="Courier New" w:cs="Courier New"/>
        </w:rPr>
        <w:t>”</w:t>
      </w:r>
      <w:r>
        <w:rPr>
          <w:rStyle w:val="27"/>
          <w:rFonts w:ascii="Courier New" w:hAnsi="Courier New" w:cs="Courier New"/>
        </w:rPr>
        <w:t>在内的规划管理及技术体系。对城市地下空间的建设工作进行科学、合理的指导，规范城市地下空间开发利用行为。</w:t>
      </w:r>
    </w:p>
    <w:p>
      <w:r>
        <w:rPr>
          <w:rFonts w:hint="eastAsia"/>
        </w:rPr>
        <w:t>2、衔接总体规划</w:t>
      </w:r>
    </w:p>
    <w:p>
      <w:pPr>
        <w:rPr>
          <w:rStyle w:val="27"/>
          <w:rFonts w:ascii="Courier New" w:hAnsi="Courier New" w:cs="Courier New"/>
        </w:rPr>
      </w:pPr>
      <w:r>
        <w:rPr>
          <w:rStyle w:val="27"/>
          <w:rFonts w:ascii="Courier New" w:hAnsi="Courier New" w:cs="Courier New"/>
        </w:rPr>
        <w:t>本规划是国土空间规划体系中的专项规划，遵循国土空间总体规划，其主要内容纳入</w:t>
      </w:r>
      <w:r>
        <w:rPr>
          <w:rStyle w:val="27"/>
          <w:rFonts w:hint="eastAsia" w:ascii="Courier New" w:hAnsi="Courier New" w:cs="Courier New"/>
        </w:rPr>
        <w:t>西青区</w:t>
      </w:r>
      <w:r>
        <w:rPr>
          <w:rStyle w:val="27"/>
          <w:rFonts w:ascii="Courier New" w:hAnsi="Courier New" w:cs="Courier New"/>
        </w:rPr>
        <w:t>国土空间</w:t>
      </w:r>
      <w:r>
        <w:rPr>
          <w:rStyle w:val="27"/>
          <w:rFonts w:hint="eastAsia" w:ascii="Courier New" w:hAnsi="Courier New" w:cs="Courier New"/>
        </w:rPr>
        <w:t>总体规划</w:t>
      </w:r>
      <w:r>
        <w:rPr>
          <w:rStyle w:val="27"/>
          <w:rFonts w:ascii="Courier New" w:hAnsi="Courier New" w:cs="Courier New"/>
        </w:rPr>
        <w:t>，</w:t>
      </w:r>
      <w:r>
        <w:rPr>
          <w:rStyle w:val="27"/>
          <w:rFonts w:hint="eastAsia" w:ascii="Courier New" w:hAnsi="Courier New" w:cs="Courier New"/>
        </w:rPr>
        <w:t>如遇重大项目需调整本规划的情况，涉及国土空间总体规划强制性要求，需先行修改国土空间总体规划。</w:t>
      </w:r>
    </w:p>
    <w:p>
      <w:r>
        <w:rPr>
          <w:rFonts w:hint="eastAsia"/>
        </w:rPr>
        <w:t>3、与详细规划的传导</w:t>
      </w:r>
    </w:p>
    <w:p>
      <w:pPr>
        <w:rPr>
          <w:rStyle w:val="27"/>
          <w:rFonts w:ascii="Courier New" w:hAnsi="Courier New" w:cs="Courier New"/>
        </w:rPr>
      </w:pPr>
      <w:bookmarkStart w:id="82" w:name="_Hlk138953148"/>
      <w:r>
        <w:rPr>
          <w:rStyle w:val="27"/>
          <w:rFonts w:ascii="Courier New" w:hAnsi="Courier New" w:cs="Courier New"/>
        </w:rPr>
        <w:t>本规划对地下空间</w:t>
      </w:r>
      <w:r>
        <w:rPr>
          <w:rStyle w:val="27"/>
          <w:rFonts w:hint="eastAsia" w:ascii="Courier New" w:hAnsi="Courier New" w:cs="Courier New"/>
        </w:rPr>
        <w:t>复合功能</w:t>
      </w:r>
      <w:r>
        <w:rPr>
          <w:rStyle w:val="27"/>
          <w:rFonts w:ascii="Courier New" w:hAnsi="Courier New" w:cs="Courier New"/>
        </w:rPr>
        <w:t>区提出的总体要求、互连互通、品质活力等方面的规划指引，</w:t>
      </w:r>
      <w:r>
        <w:rPr>
          <w:rStyle w:val="27"/>
          <w:rFonts w:hint="eastAsia" w:ascii="Courier New" w:hAnsi="Courier New" w:cs="Courier New"/>
        </w:rPr>
        <w:t>鼓励</w:t>
      </w:r>
      <w:r>
        <w:rPr>
          <w:rStyle w:val="27"/>
          <w:rFonts w:ascii="Courier New" w:hAnsi="Courier New" w:cs="Courier New"/>
        </w:rPr>
        <w:t>在</w:t>
      </w:r>
      <w:r>
        <w:rPr>
          <w:rStyle w:val="27"/>
          <w:rFonts w:hint="eastAsia" w:ascii="Courier New" w:hAnsi="Courier New" w:cs="Courier New"/>
        </w:rPr>
        <w:t>重要节点</w:t>
      </w:r>
      <w:r>
        <w:rPr>
          <w:rStyle w:val="27"/>
          <w:rFonts w:ascii="Courier New" w:hAnsi="Courier New" w:cs="Courier New"/>
        </w:rPr>
        <w:t>地下空间详细规划中予以落实</w:t>
      </w:r>
      <w:r>
        <w:rPr>
          <w:rStyle w:val="27"/>
          <w:rFonts w:hint="eastAsia" w:ascii="Courier New" w:hAnsi="Courier New" w:cs="Courier New"/>
        </w:rPr>
        <w:t>，没有条件编制地下空间详细规划的地区，在</w:t>
      </w:r>
      <w:r>
        <w:rPr>
          <w:rStyle w:val="27"/>
          <w:rFonts w:ascii="Courier New" w:hAnsi="Courier New" w:cs="Courier New"/>
        </w:rPr>
        <w:t>控制性详细规划</w:t>
      </w:r>
      <w:r>
        <w:rPr>
          <w:rStyle w:val="27"/>
          <w:rFonts w:hint="eastAsia" w:ascii="Courier New" w:hAnsi="Courier New" w:cs="Courier New"/>
        </w:rPr>
        <w:t>中落实地下空间相关建设要求</w:t>
      </w:r>
      <w:r>
        <w:rPr>
          <w:rStyle w:val="27"/>
          <w:rFonts w:ascii="Courier New" w:hAnsi="Courier New" w:cs="Courier New"/>
        </w:rPr>
        <w:t>。本规划对一般</w:t>
      </w:r>
      <w:r>
        <w:rPr>
          <w:rStyle w:val="27"/>
          <w:rFonts w:hint="eastAsia" w:ascii="Courier New" w:hAnsi="Courier New" w:cs="Courier New"/>
        </w:rPr>
        <w:t>功能</w:t>
      </w:r>
      <w:r>
        <w:rPr>
          <w:rStyle w:val="27"/>
          <w:rFonts w:ascii="Courier New" w:hAnsi="Courier New" w:cs="Courier New"/>
        </w:rPr>
        <w:t>区、</w:t>
      </w:r>
      <w:r>
        <w:rPr>
          <w:rStyle w:val="27"/>
          <w:rFonts w:hint="eastAsia" w:ascii="Courier New" w:hAnsi="Courier New" w:cs="Courier New"/>
        </w:rPr>
        <w:t>开发控制</w:t>
      </w:r>
      <w:r>
        <w:rPr>
          <w:rStyle w:val="27"/>
          <w:rFonts w:ascii="Courier New" w:hAnsi="Courier New" w:cs="Courier New"/>
        </w:rPr>
        <w:t>区</w:t>
      </w:r>
      <w:r>
        <w:rPr>
          <w:rStyle w:val="27"/>
          <w:rFonts w:hint="eastAsia" w:ascii="Courier New" w:hAnsi="Courier New" w:cs="Courier New"/>
        </w:rPr>
        <w:t>、管制区</w:t>
      </w:r>
      <w:r>
        <w:rPr>
          <w:rStyle w:val="27"/>
          <w:rFonts w:ascii="Courier New" w:hAnsi="Courier New" w:cs="Courier New"/>
        </w:rPr>
        <w:t>提出的利用功能等规划指引；在</w:t>
      </w:r>
      <w:r>
        <w:rPr>
          <w:rStyle w:val="27"/>
          <w:rFonts w:hint="eastAsia" w:ascii="Courier New" w:hAnsi="Courier New" w:cs="Courier New"/>
        </w:rPr>
        <w:t>相应区域</w:t>
      </w:r>
      <w:r>
        <w:rPr>
          <w:rStyle w:val="27"/>
          <w:rFonts w:ascii="Courier New" w:hAnsi="Courier New" w:cs="Courier New"/>
        </w:rPr>
        <w:t>的控制性详细规划、村庄规划等详细规划中予以落实。</w:t>
      </w:r>
    </w:p>
    <w:p>
      <w:pPr>
        <w:rPr>
          <w:rStyle w:val="27"/>
          <w:rFonts w:ascii="Courier New" w:hAnsi="Courier New" w:cs="Courier New"/>
        </w:rPr>
      </w:pPr>
      <w:r>
        <w:rPr>
          <w:rStyle w:val="27"/>
          <w:rFonts w:ascii="Courier New" w:hAnsi="Courier New" w:cs="Courier New"/>
        </w:rPr>
        <w:t>涉及地下空间重</w:t>
      </w:r>
      <w:r>
        <w:rPr>
          <w:rStyle w:val="27"/>
          <w:rFonts w:hint="eastAsia" w:ascii="Courier New" w:hAnsi="Courier New" w:cs="Courier New"/>
        </w:rPr>
        <w:t>要节点地区</w:t>
      </w:r>
      <w:r>
        <w:rPr>
          <w:rStyle w:val="27"/>
          <w:rFonts w:ascii="Courier New" w:hAnsi="Courier New" w:cs="Courier New"/>
        </w:rPr>
        <w:t>的控制性详细规划</w:t>
      </w:r>
      <w:r>
        <w:rPr>
          <w:rStyle w:val="27"/>
          <w:rFonts w:hint="eastAsia" w:ascii="Courier New" w:hAnsi="Courier New" w:cs="Courier New"/>
        </w:rPr>
        <w:t>鼓励</w:t>
      </w:r>
      <w:r>
        <w:rPr>
          <w:rStyle w:val="27"/>
          <w:rFonts w:ascii="Courier New" w:hAnsi="Courier New" w:cs="Courier New"/>
        </w:rPr>
        <w:t>同步编制地下空间专篇，系统落实上位规划对地下空间建设与管控的要求，具体按照法定传导要求实施。涉及重大项目、重大工程的地下空间开发利用需编制专项设计方案，明确重大项目、重大工程对地下空间建设与管控的要求，经审批后纳入国土空间规划管理体系。</w:t>
      </w:r>
    </w:p>
    <w:bookmarkEnd w:id="82"/>
    <w:p>
      <w:r>
        <w:rPr>
          <w:rFonts w:hint="eastAsia"/>
        </w:rPr>
        <w:t>4、与其他专项规划的协调</w:t>
      </w:r>
    </w:p>
    <w:p>
      <w:bookmarkStart w:id="83" w:name="_Hlk144906725"/>
      <w:r>
        <w:rPr>
          <w:rFonts w:hint="eastAsia"/>
        </w:rPr>
        <w:t>落实区级国土空间总体规划相关要求，建立与其他专项规划统筹协调、动态管理机制，持续深化专项规划的全周期统筹协同。</w:t>
      </w:r>
    </w:p>
    <w:bookmarkEnd w:id="83"/>
    <w:p>
      <w:pPr>
        <w:pStyle w:val="3"/>
      </w:pPr>
      <w:bookmarkStart w:id="84" w:name="_Toc140241268"/>
      <w:r>
        <w:rPr>
          <w:rFonts w:hint="eastAsia"/>
        </w:rPr>
        <w:t>（二）建立规划实施管理体系</w:t>
      </w:r>
      <w:bookmarkEnd w:id="84"/>
    </w:p>
    <w:p>
      <w:r>
        <w:rPr>
          <w:rFonts w:hint="eastAsia"/>
        </w:rPr>
        <w:t>1、完善政策法规及管理机制</w:t>
      </w:r>
    </w:p>
    <w:p>
      <w:pPr>
        <w:rPr>
          <w:rStyle w:val="27"/>
          <w:rFonts w:ascii="Courier New" w:hAnsi="Courier New" w:cs="Courier New"/>
        </w:rPr>
      </w:pPr>
      <w:r>
        <w:rPr>
          <w:rStyle w:val="27"/>
          <w:rFonts w:ascii="Courier New" w:hAnsi="Courier New" w:cs="Courier New"/>
        </w:rPr>
        <w:t>加强安全管理。将地下空间安全管理纳入城市应急管理体系，统筹协调地下空间安全使用监督检查管理工作。开发利用地下空间前，应分析用地特征，按照有关规定开展相应的</w:t>
      </w:r>
      <w:r>
        <w:rPr>
          <w:rStyle w:val="28"/>
          <w:rFonts w:ascii="Courier New" w:hAnsi="Courier New" w:cs="Courier New"/>
        </w:rPr>
        <w:t>地质</w:t>
      </w:r>
      <w:r>
        <w:rPr>
          <w:rStyle w:val="27"/>
          <w:rFonts w:ascii="Courier New" w:hAnsi="Courier New" w:cs="Courier New"/>
        </w:rPr>
        <w:t>条件、环境条件及安全影响评估，</w:t>
      </w:r>
      <w:r>
        <w:rPr>
          <w:rFonts w:hint="eastAsia"/>
          <w:color w:val="000000" w:themeColor="text1"/>
          <w14:textFill>
            <w14:solidFill>
              <w14:schemeClr w14:val="tx1"/>
            </w14:solidFill>
          </w14:textFill>
        </w:rPr>
        <w:t>保障地下空间资源开发利用与城市安全发展。</w:t>
      </w:r>
      <w:r>
        <w:rPr>
          <w:rStyle w:val="27"/>
          <w:rFonts w:ascii="Courier New" w:hAnsi="Courier New" w:cs="Courier New"/>
        </w:rPr>
        <w:t>经论证影响较小且防范与治理措施可行的情况下再合理利用。在项目可行性研究阶段应开展地下空间利用专项论证，明确地下空间利用范围、深度、利用风险和工程技术措施。</w:t>
      </w:r>
    </w:p>
    <w:p>
      <w:pPr>
        <w:rPr>
          <w:rStyle w:val="27"/>
          <w:rFonts w:ascii="Courier New" w:hAnsi="Courier New" w:cs="Courier New"/>
        </w:rPr>
      </w:pPr>
      <w:r>
        <w:rPr>
          <w:rStyle w:val="27"/>
          <w:rFonts w:ascii="Courier New" w:hAnsi="Courier New" w:cs="Courier New"/>
        </w:rPr>
        <w:t>加大资金支持。积极争取政府财政资金支持地下空间开发建设。 建立激励机制。制定优惠扶持政策，鼓励社会资本参与重点建设地区地下空间的建设运营，提升城市地下空间开发利用的质量和水平</w:t>
      </w:r>
      <w:r>
        <w:rPr>
          <w:rStyle w:val="27"/>
          <w:rFonts w:hint="eastAsia" w:ascii="Courier New" w:hAnsi="Courier New" w:cs="Courier New"/>
        </w:rPr>
        <w:t>。</w:t>
      </w:r>
    </w:p>
    <w:p>
      <w:pPr>
        <w:rPr>
          <w:rStyle w:val="27"/>
          <w:rFonts w:ascii="Courier New" w:hAnsi="Courier New" w:cs="Courier New"/>
        </w:rPr>
      </w:pPr>
      <w:r>
        <w:rPr>
          <w:rStyle w:val="27"/>
          <w:rFonts w:ascii="Courier New" w:hAnsi="Courier New" w:cs="Courier New"/>
        </w:rPr>
        <w:t>加强队伍建设。依托大专院校、科研院所等机构，建立具有行业发展前瞻性的产学研相结合的人才培养体系。</w:t>
      </w:r>
    </w:p>
    <w:p>
      <w:r>
        <w:rPr>
          <w:rStyle w:val="27"/>
          <w:rFonts w:ascii="Courier New" w:hAnsi="Courier New" w:cs="Courier New"/>
        </w:rPr>
        <w:t>完善地下空间开发利用管理办法和实施细则</w:t>
      </w:r>
      <w:r>
        <w:rPr>
          <w:rStyle w:val="27"/>
          <w:rFonts w:hint="eastAsia" w:ascii="Courier New" w:hAnsi="Courier New" w:cs="Courier New"/>
        </w:rPr>
        <w:t>，探索研究</w:t>
      </w:r>
      <w:r>
        <w:rPr>
          <w:rStyle w:val="27"/>
          <w:rFonts w:ascii="Courier New" w:hAnsi="Courier New" w:cs="Courier New"/>
        </w:rPr>
        <w:t>地下空间整体开发、轨道交通站城一体综合开发、重大地下空间项目一体化设计及建设实施统筹协调机制和推动精细化设计、高品质开发、地下公共空间建设等的配套政策，探索研究适应地下空间整体开发模式的地上、地表、地下空间的</w:t>
      </w:r>
      <w:r>
        <w:rPr>
          <w:rStyle w:val="27"/>
          <w:rFonts w:hint="eastAsia" w:ascii="Courier New" w:hAnsi="Courier New" w:cs="Courier New"/>
        </w:rPr>
        <w:t>确</w:t>
      </w:r>
      <w:r>
        <w:rPr>
          <w:rStyle w:val="27"/>
          <w:rFonts w:ascii="Courier New" w:hAnsi="Courier New" w:cs="Courier New"/>
        </w:rPr>
        <w:t>权方式和出让方式，保证地下空间利用的整体性和系统性。</w:t>
      </w:r>
    </w:p>
    <w:p>
      <w:r>
        <w:rPr>
          <w:rFonts w:hint="eastAsia"/>
        </w:rPr>
        <w:t>2、建设地下空间数据系统</w:t>
      </w:r>
    </w:p>
    <w:p>
      <w:pPr>
        <w:rPr>
          <w:rStyle w:val="27"/>
          <w:rFonts w:ascii="Courier New" w:hAnsi="Courier New" w:cs="Courier New"/>
        </w:rPr>
      </w:pPr>
      <w:r>
        <w:rPr>
          <w:rStyle w:val="27"/>
          <w:rFonts w:ascii="Courier New" w:hAnsi="Courier New" w:cs="Courier New"/>
        </w:rPr>
        <w:t>开展</w:t>
      </w:r>
      <w:r>
        <w:rPr>
          <w:rStyle w:val="28"/>
          <w:rFonts w:ascii="Courier New" w:hAnsi="Courier New" w:cs="Courier New"/>
        </w:rPr>
        <w:t>地质</w:t>
      </w:r>
      <w:r>
        <w:rPr>
          <w:rStyle w:val="27"/>
          <w:rFonts w:ascii="Courier New" w:hAnsi="Courier New" w:cs="Courier New"/>
        </w:rPr>
        <w:t>调查、地下空间资源调查、地下空间利用现状普查、地下管线普查、地下空间权属调查和地下空间利用潜在风险点调查，建立全过程、全要素的地下空间资源保护与利用台账，实现信息互连共享</w:t>
      </w:r>
      <w:r>
        <w:rPr>
          <w:rStyle w:val="27"/>
          <w:rFonts w:hint="eastAsia" w:ascii="Courier New" w:hAnsi="Courier New" w:cs="Courier New"/>
        </w:rPr>
        <w:t>。</w:t>
      </w:r>
    </w:p>
    <w:p>
      <w:pPr>
        <w:rPr>
          <w:rStyle w:val="27"/>
          <w:rFonts w:ascii="Courier New" w:hAnsi="Courier New" w:cs="Courier New"/>
        </w:rPr>
      </w:pPr>
      <w:r>
        <w:rPr>
          <w:rStyle w:val="27"/>
          <w:rFonts w:ascii="Courier New" w:hAnsi="Courier New" w:cs="Courier New"/>
        </w:rPr>
        <w:t>推进地下空间信息共建共享机制的建立，逐步实现地下空间规划、建设、使用和监管的全流程智慧化、可视化管理。</w:t>
      </w:r>
    </w:p>
    <w:p>
      <w:pPr>
        <w:rPr>
          <w:rStyle w:val="27"/>
          <w:rFonts w:ascii="Courier New" w:hAnsi="Courier New" w:cs="Courier New"/>
        </w:rPr>
      </w:pPr>
      <w:bookmarkStart w:id="85" w:name="_Hlk140240449"/>
      <w:r>
        <w:rPr>
          <w:rStyle w:val="27"/>
          <w:rFonts w:ascii="Courier New" w:hAnsi="Courier New" w:cs="Courier New"/>
        </w:rPr>
        <w:t>有序推进专项规划的实施。开展地下空间</w:t>
      </w:r>
      <w:r>
        <w:rPr>
          <w:rStyle w:val="27"/>
          <w:rFonts w:hint="eastAsia" w:ascii="Courier New" w:hAnsi="Courier New" w:cs="Courier New"/>
        </w:rPr>
        <w:t>开发</w:t>
      </w:r>
      <w:r>
        <w:rPr>
          <w:rStyle w:val="27"/>
          <w:rFonts w:ascii="Courier New" w:hAnsi="Courier New" w:cs="Courier New"/>
        </w:rPr>
        <w:t>利用的动态监测和评估，定期开展地下空间</w:t>
      </w:r>
      <w:r>
        <w:rPr>
          <w:rStyle w:val="27"/>
          <w:rFonts w:hint="eastAsia" w:ascii="Courier New" w:hAnsi="Courier New" w:cs="Courier New"/>
        </w:rPr>
        <w:t>专项</w:t>
      </w:r>
      <w:r>
        <w:rPr>
          <w:rStyle w:val="27"/>
          <w:rFonts w:ascii="Courier New" w:hAnsi="Courier New" w:cs="Courier New"/>
        </w:rPr>
        <w:t>规划的实施评估和重点发展区地下空间建设的实施评估</w:t>
      </w:r>
      <w:r>
        <w:rPr>
          <w:rStyle w:val="27"/>
          <w:rFonts w:hint="eastAsia" w:ascii="Courier New" w:hAnsi="Courier New" w:cs="Courier New"/>
        </w:rPr>
        <w:t>。</w:t>
      </w:r>
    </w:p>
    <w:bookmarkEnd w:id="85"/>
    <w:p>
      <w:r>
        <w:rPr>
          <w:rStyle w:val="27"/>
          <w:rFonts w:ascii="Courier New" w:hAnsi="Courier New" w:cs="Courier New"/>
        </w:rPr>
        <w:t>构建规划管理一张图。结合国土空间规划</w:t>
      </w:r>
      <w:r>
        <w:rPr>
          <w:rStyle w:val="27"/>
          <w:rFonts w:hint="eastAsia" w:ascii="Courier New" w:hAnsi="Courier New" w:cs="Courier New"/>
        </w:rPr>
        <w:t>“</w:t>
      </w:r>
      <w:r>
        <w:rPr>
          <w:rStyle w:val="27"/>
          <w:rFonts w:ascii="Courier New" w:hAnsi="Courier New" w:cs="Courier New"/>
        </w:rPr>
        <w:t>一张图</w:t>
      </w:r>
      <w:r>
        <w:rPr>
          <w:rStyle w:val="27"/>
          <w:rFonts w:hint="eastAsia" w:ascii="Courier New" w:hAnsi="Courier New" w:cs="Courier New"/>
        </w:rPr>
        <w:t>”</w:t>
      </w:r>
      <w:r>
        <w:rPr>
          <w:rStyle w:val="27"/>
          <w:rFonts w:ascii="Courier New" w:hAnsi="Courier New" w:cs="Courier New"/>
        </w:rPr>
        <w:t>建设，将地下空间专项规划、</w:t>
      </w:r>
      <w:r>
        <w:rPr>
          <w:rStyle w:val="27"/>
          <w:rFonts w:hint="eastAsia" w:ascii="Courier New" w:hAnsi="Courier New" w:cs="Courier New"/>
        </w:rPr>
        <w:t>重要节点</w:t>
      </w:r>
      <w:r>
        <w:rPr>
          <w:rStyle w:val="27"/>
          <w:rFonts w:ascii="Courier New" w:hAnsi="Courier New" w:cs="Courier New"/>
        </w:rPr>
        <w:t>区地下空间详细规划确定的核心管控纳入规划管理一张图，作为规划管控的重要的内容</w:t>
      </w:r>
      <w:r>
        <w:rPr>
          <w:rStyle w:val="27"/>
          <w:rFonts w:hint="eastAsia" w:ascii="Courier New" w:hAnsi="Courier New" w:cs="Courier New"/>
        </w:rPr>
        <w:t>。</w:t>
      </w:r>
    </w:p>
    <w:p>
      <w:r>
        <w:rPr>
          <w:rFonts w:hint="eastAsia"/>
        </w:rPr>
        <w:t>3、完善技术规范</w:t>
      </w:r>
    </w:p>
    <w:p>
      <w:pPr>
        <w:rPr>
          <w:rStyle w:val="27"/>
          <w:rFonts w:ascii="Courier New" w:hAnsi="Courier New" w:cs="Courier New"/>
        </w:rPr>
      </w:pPr>
      <w:r>
        <w:rPr>
          <w:rStyle w:val="27"/>
          <w:rFonts w:ascii="Courier New" w:hAnsi="Courier New" w:cs="Courier New"/>
        </w:rPr>
        <w:t>完善地下空间规划管理的标准与准则，整合各类基础设施标准，形成地下空间综合技术规范</w:t>
      </w:r>
      <w:r>
        <w:rPr>
          <w:rStyle w:val="27"/>
          <w:rFonts w:hint="eastAsia" w:ascii="Courier New" w:hAnsi="Courier New" w:cs="Courier New"/>
        </w:rPr>
        <w:t>，</w:t>
      </w:r>
      <w:r>
        <w:rPr>
          <w:rStyle w:val="27"/>
          <w:rFonts w:ascii="Courier New" w:hAnsi="Courier New" w:cs="Courier New"/>
        </w:rPr>
        <w:t>进一步加强对规划管理的指导性和针对性。</w:t>
      </w:r>
      <w:bookmarkEnd w:id="81"/>
    </w:p>
    <w:p>
      <w:pPr>
        <w:ind w:firstLine="0" w:firstLineChars="0"/>
        <w:jc w:val="left"/>
        <w:rPr>
          <w:rStyle w:val="27"/>
          <w:rFonts w:ascii="Courier New" w:hAnsi="Courier New" w:cs="Courier New"/>
        </w:rPr>
      </w:pPr>
      <w:r>
        <w:rPr>
          <w:rStyle w:val="27"/>
          <w:rFonts w:ascii="Courier New" w:hAnsi="Courier New" w:cs="Courier New"/>
        </w:rPr>
        <w:br w:type="page"/>
      </w:r>
    </w:p>
    <w:p>
      <w:pPr>
        <w:rPr>
          <w:rStyle w:val="27"/>
          <w:rFonts w:ascii="Courier New" w:hAnsi="Courier New" w:cs="Courier New"/>
        </w:rPr>
        <w:sectPr>
          <w:headerReference r:id="rId11" w:type="default"/>
          <w:footerReference r:id="rId12" w:type="default"/>
          <w:pgSz w:w="11906" w:h="16838"/>
          <w:pgMar w:top="1440" w:right="1797" w:bottom="1440" w:left="1797" w:header="851" w:footer="992" w:gutter="0"/>
          <w:pgNumType w:start="1"/>
          <w:cols w:space="425" w:num="1"/>
          <w:docGrid w:type="lines" w:linePitch="312" w:charSpace="0"/>
        </w:sectPr>
      </w:pPr>
    </w:p>
    <w:p>
      <w:pPr>
        <w:ind w:firstLine="0" w:firstLineChars="0"/>
        <w:jc w:val="left"/>
        <w:rPr>
          <w:color w:val="000000" w:themeColor="text1"/>
          <w14:textFill>
            <w14:solidFill>
              <w14:schemeClr w14:val="tx1"/>
            </w14:solidFill>
          </w14:textFill>
        </w:rPr>
      </w:pPr>
      <w:r>
        <w:drawing>
          <wp:inline distT="0" distB="0" distL="0" distR="0">
            <wp:extent cx="5273040" cy="7456805"/>
            <wp:effectExtent l="0" t="0" r="3810" b="0"/>
            <wp:docPr id="97220172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72201720" name="图片 2"/>
                    <pic:cNvPicPr>
                      <a:picLocks noChangeAspect="true" noChangeArrowheads="true"/>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5273040" cy="7457112"/>
                    </a:xfrm>
                    <a:prstGeom prst="rect">
                      <a:avLst/>
                    </a:prstGeom>
                    <a:noFill/>
                    <a:ln>
                      <a:noFill/>
                    </a:ln>
                  </pic:spPr>
                </pic:pic>
              </a:graphicData>
            </a:graphic>
          </wp:inline>
        </w:drawing>
      </w:r>
    </w:p>
    <w:p>
      <w:pPr>
        <w:ind w:firstLine="0" w:firstLineChars="0"/>
        <w:sectPr>
          <w:headerReference r:id="rId13" w:type="default"/>
          <w:type w:val="continuous"/>
          <w:pgSz w:w="11906" w:h="16838"/>
          <w:pgMar w:top="1440" w:right="1800" w:bottom="1440" w:left="1800" w:header="851" w:footer="992" w:gutter="0"/>
          <w:pgNumType w:start="1"/>
          <w:cols w:space="425" w:num="1"/>
          <w:docGrid w:type="lines" w:linePitch="312" w:charSpace="0"/>
        </w:sectPr>
      </w:pPr>
    </w:p>
    <w:p>
      <w:pPr>
        <w:ind w:firstLine="0" w:firstLineChars="0"/>
        <w:rPr>
          <w:color w:val="000000" w:themeColor="text1"/>
          <w14:textFill>
            <w14:solidFill>
              <w14:schemeClr w14:val="tx1"/>
            </w14:solidFill>
          </w14:textFill>
        </w:rPr>
      </w:pPr>
      <w:r>
        <w:drawing>
          <wp:inline distT="0" distB="0" distL="0" distR="0">
            <wp:extent cx="5273675" cy="7476490"/>
            <wp:effectExtent l="0" t="0" r="3175" b="0"/>
            <wp:docPr id="142825679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28256794" name="图片 4"/>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l="161" r="161"/>
                    <a:stretch>
                      <a:fillRect/>
                    </a:stretch>
                  </pic:blipFill>
                  <pic:spPr>
                    <a:xfrm>
                      <a:off x="0" y="0"/>
                      <a:ext cx="5273675" cy="7476565"/>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0" distR="0">
            <wp:extent cx="5265420" cy="7446010"/>
            <wp:effectExtent l="0" t="0" r="0" b="2540"/>
            <wp:docPr id="6"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true"/>
                    </pic:cNvPicPr>
                  </pic:nvPicPr>
                  <pic:blipFill>
                    <a:blip r:embed="rId18" cstate="print">
                      <a:extLst>
                        <a:ext uri="{28A0092B-C50C-407E-A947-70E740481C1C}">
                          <a14:useLocalDpi xmlns:a14="http://schemas.microsoft.com/office/drawing/2010/main" val="false"/>
                        </a:ext>
                      </a:extLst>
                    </a:blip>
                    <a:stretch>
                      <a:fillRect/>
                    </a:stretch>
                  </pic:blipFill>
                  <pic:spPr>
                    <a:xfrm>
                      <a:off x="0" y="0"/>
                      <a:ext cx="5265513" cy="7446469"/>
                    </a:xfrm>
                    <a:prstGeom prst="rect">
                      <a:avLst/>
                    </a:prstGeom>
                  </pic:spPr>
                </pic:pic>
              </a:graphicData>
            </a:graphic>
          </wp:inline>
        </w:drawing>
      </w:r>
    </w:p>
    <w:sectPr>
      <w:footerReference r:id="rId14" w:type="default"/>
      <w:pgSz w:w="11906" w:h="16838"/>
      <w:pgMar w:top="1440" w:right="1800" w:bottom="1440" w:left="1800" w:header="851" w:footer="992" w:gutter="0"/>
      <w:pgNumType w:start="18"/>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acds>
    <wne:acd wne:argValue="AQAAAA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372"/>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372"/>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bookmarkStart w:id="86" w:name="_GoBack"/>
    <w:bookmarkEnd w:id="8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rPr>
        <w:rFonts w:hint="eastAsia"/>
      </w:rPr>
      <w:t>天津市西青区津城南部产城示范区地下空间专项规划（2</w:t>
    </w:r>
    <w:r>
      <w:t>021</w:t>
    </w:r>
    <w:r>
      <w:rPr>
        <w:rFonts w:hint="eastAsia"/>
      </w:rPr>
      <w:t>—2</w:t>
    </w:r>
    <w:r>
      <w:t>035</w:t>
    </w:r>
    <w:r>
      <w:rPr>
        <w:rFonts w:hint="eastAsia"/>
      </w:rPr>
      <w:t>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rPr>
        <w:rFonts w:hint="eastAsia"/>
      </w:rPr>
      <w:t>天津市西青区津城南部产城示范区地下空间专项规划（2</w:t>
    </w:r>
    <w:r>
      <w:t>021</w:t>
    </w:r>
    <w:r>
      <w:rPr>
        <w:rFonts w:hint="eastAsia"/>
      </w:rPr>
      <w:t>—2</w:t>
    </w:r>
    <w:r>
      <w:t>035</w:t>
    </w:r>
    <w:r>
      <w:rPr>
        <w:rFonts w:hint="eastAsia"/>
      </w:rPr>
      <w:t>年）图集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EC"/>
    <w:rsid w:val="00002D8F"/>
    <w:rsid w:val="0001017A"/>
    <w:rsid w:val="0001017D"/>
    <w:rsid w:val="00010C31"/>
    <w:rsid w:val="000125F6"/>
    <w:rsid w:val="00012D74"/>
    <w:rsid w:val="00013625"/>
    <w:rsid w:val="00017328"/>
    <w:rsid w:val="00017A86"/>
    <w:rsid w:val="0002059E"/>
    <w:rsid w:val="0002484F"/>
    <w:rsid w:val="00024E3E"/>
    <w:rsid w:val="0003426B"/>
    <w:rsid w:val="00037134"/>
    <w:rsid w:val="000372EA"/>
    <w:rsid w:val="00042FAF"/>
    <w:rsid w:val="000449A9"/>
    <w:rsid w:val="00045BF7"/>
    <w:rsid w:val="0005080B"/>
    <w:rsid w:val="0005300A"/>
    <w:rsid w:val="000614BE"/>
    <w:rsid w:val="00061C54"/>
    <w:rsid w:val="00064800"/>
    <w:rsid w:val="00064AC5"/>
    <w:rsid w:val="00065550"/>
    <w:rsid w:val="000661F1"/>
    <w:rsid w:val="00077460"/>
    <w:rsid w:val="00077DEC"/>
    <w:rsid w:val="000802D8"/>
    <w:rsid w:val="00082104"/>
    <w:rsid w:val="00082F03"/>
    <w:rsid w:val="000842B6"/>
    <w:rsid w:val="00084705"/>
    <w:rsid w:val="000871D8"/>
    <w:rsid w:val="00087705"/>
    <w:rsid w:val="00094C9B"/>
    <w:rsid w:val="000A398E"/>
    <w:rsid w:val="000A50B7"/>
    <w:rsid w:val="000A5A94"/>
    <w:rsid w:val="000A779B"/>
    <w:rsid w:val="000B2722"/>
    <w:rsid w:val="000B3445"/>
    <w:rsid w:val="000C4D27"/>
    <w:rsid w:val="000D33DB"/>
    <w:rsid w:val="000D5C52"/>
    <w:rsid w:val="000E2D36"/>
    <w:rsid w:val="000E5FBA"/>
    <w:rsid w:val="000F50E3"/>
    <w:rsid w:val="00101DDB"/>
    <w:rsid w:val="00102646"/>
    <w:rsid w:val="00103587"/>
    <w:rsid w:val="0011246C"/>
    <w:rsid w:val="001157C6"/>
    <w:rsid w:val="00125286"/>
    <w:rsid w:val="00137208"/>
    <w:rsid w:val="00142B8F"/>
    <w:rsid w:val="0014506A"/>
    <w:rsid w:val="00150187"/>
    <w:rsid w:val="00151CA9"/>
    <w:rsid w:val="00152834"/>
    <w:rsid w:val="0015492A"/>
    <w:rsid w:val="001549A9"/>
    <w:rsid w:val="001575E1"/>
    <w:rsid w:val="001645CD"/>
    <w:rsid w:val="0016471E"/>
    <w:rsid w:val="00167216"/>
    <w:rsid w:val="001709C3"/>
    <w:rsid w:val="00193499"/>
    <w:rsid w:val="00194598"/>
    <w:rsid w:val="001947F2"/>
    <w:rsid w:val="001A400A"/>
    <w:rsid w:val="001B0D6D"/>
    <w:rsid w:val="001B4A6E"/>
    <w:rsid w:val="001C0AB6"/>
    <w:rsid w:val="001C6E1B"/>
    <w:rsid w:val="001C7C4E"/>
    <w:rsid w:val="001D61ED"/>
    <w:rsid w:val="001E62BD"/>
    <w:rsid w:val="001F11F0"/>
    <w:rsid w:val="001F24E3"/>
    <w:rsid w:val="001F2C5E"/>
    <w:rsid w:val="001F525B"/>
    <w:rsid w:val="0020452D"/>
    <w:rsid w:val="00205C1D"/>
    <w:rsid w:val="0020679B"/>
    <w:rsid w:val="002119B8"/>
    <w:rsid w:val="00213A54"/>
    <w:rsid w:val="002172D8"/>
    <w:rsid w:val="0022569C"/>
    <w:rsid w:val="00226D30"/>
    <w:rsid w:val="00230607"/>
    <w:rsid w:val="00232FF6"/>
    <w:rsid w:val="00233E13"/>
    <w:rsid w:val="00237EBD"/>
    <w:rsid w:val="00240318"/>
    <w:rsid w:val="00242F03"/>
    <w:rsid w:val="00244E6A"/>
    <w:rsid w:val="0024526D"/>
    <w:rsid w:val="00270FE1"/>
    <w:rsid w:val="00272FE6"/>
    <w:rsid w:val="00277A0C"/>
    <w:rsid w:val="002806EC"/>
    <w:rsid w:val="002814E8"/>
    <w:rsid w:val="00281A7D"/>
    <w:rsid w:val="002B0635"/>
    <w:rsid w:val="002B4E4F"/>
    <w:rsid w:val="002B60DC"/>
    <w:rsid w:val="002C362B"/>
    <w:rsid w:val="002C37E2"/>
    <w:rsid w:val="002C50B3"/>
    <w:rsid w:val="002C7C51"/>
    <w:rsid w:val="002D0812"/>
    <w:rsid w:val="002D1284"/>
    <w:rsid w:val="002D6A4F"/>
    <w:rsid w:val="002D73B3"/>
    <w:rsid w:val="002D7F5B"/>
    <w:rsid w:val="002E390E"/>
    <w:rsid w:val="002E49A8"/>
    <w:rsid w:val="00301B5A"/>
    <w:rsid w:val="00302054"/>
    <w:rsid w:val="00306097"/>
    <w:rsid w:val="00310730"/>
    <w:rsid w:val="00316E77"/>
    <w:rsid w:val="00317218"/>
    <w:rsid w:val="003212DA"/>
    <w:rsid w:val="003231BF"/>
    <w:rsid w:val="00323765"/>
    <w:rsid w:val="003239DC"/>
    <w:rsid w:val="00325FB6"/>
    <w:rsid w:val="00326FDE"/>
    <w:rsid w:val="00331113"/>
    <w:rsid w:val="00334483"/>
    <w:rsid w:val="00346608"/>
    <w:rsid w:val="003467C6"/>
    <w:rsid w:val="0035519E"/>
    <w:rsid w:val="00362B8C"/>
    <w:rsid w:val="00363FC0"/>
    <w:rsid w:val="00365683"/>
    <w:rsid w:val="00372948"/>
    <w:rsid w:val="003735BC"/>
    <w:rsid w:val="00373647"/>
    <w:rsid w:val="003842F9"/>
    <w:rsid w:val="00384A82"/>
    <w:rsid w:val="00385949"/>
    <w:rsid w:val="0038678E"/>
    <w:rsid w:val="00387DC8"/>
    <w:rsid w:val="0039436F"/>
    <w:rsid w:val="00394E94"/>
    <w:rsid w:val="0039645E"/>
    <w:rsid w:val="00397051"/>
    <w:rsid w:val="00397958"/>
    <w:rsid w:val="003A035D"/>
    <w:rsid w:val="003A55E4"/>
    <w:rsid w:val="003B0E27"/>
    <w:rsid w:val="003B1C3B"/>
    <w:rsid w:val="003C6533"/>
    <w:rsid w:val="003D21B1"/>
    <w:rsid w:val="003E06DC"/>
    <w:rsid w:val="003E2F7B"/>
    <w:rsid w:val="003E4407"/>
    <w:rsid w:val="003E5B9E"/>
    <w:rsid w:val="003E6FF1"/>
    <w:rsid w:val="003F2A3F"/>
    <w:rsid w:val="003F3EFA"/>
    <w:rsid w:val="00400CF0"/>
    <w:rsid w:val="0040246A"/>
    <w:rsid w:val="00407FCC"/>
    <w:rsid w:val="0041184C"/>
    <w:rsid w:val="004159B4"/>
    <w:rsid w:val="004168E2"/>
    <w:rsid w:val="004177DE"/>
    <w:rsid w:val="00423406"/>
    <w:rsid w:val="0043021C"/>
    <w:rsid w:val="00434BBF"/>
    <w:rsid w:val="00434CDE"/>
    <w:rsid w:val="00434D48"/>
    <w:rsid w:val="0043795A"/>
    <w:rsid w:val="00441139"/>
    <w:rsid w:val="00442B02"/>
    <w:rsid w:val="004441EC"/>
    <w:rsid w:val="004473E2"/>
    <w:rsid w:val="0045022B"/>
    <w:rsid w:val="00451CAF"/>
    <w:rsid w:val="0045309A"/>
    <w:rsid w:val="00457052"/>
    <w:rsid w:val="00457FCB"/>
    <w:rsid w:val="00460455"/>
    <w:rsid w:val="00461FA0"/>
    <w:rsid w:val="00462597"/>
    <w:rsid w:val="0046305E"/>
    <w:rsid w:val="00474714"/>
    <w:rsid w:val="004811C5"/>
    <w:rsid w:val="004820E5"/>
    <w:rsid w:val="00484AF9"/>
    <w:rsid w:val="004867A2"/>
    <w:rsid w:val="00487EE8"/>
    <w:rsid w:val="004A2471"/>
    <w:rsid w:val="004B221D"/>
    <w:rsid w:val="004B74CA"/>
    <w:rsid w:val="004C034B"/>
    <w:rsid w:val="004C0E91"/>
    <w:rsid w:val="004D4492"/>
    <w:rsid w:val="004E27A0"/>
    <w:rsid w:val="004E6E9B"/>
    <w:rsid w:val="004F38FD"/>
    <w:rsid w:val="005103A7"/>
    <w:rsid w:val="00511301"/>
    <w:rsid w:val="005160FB"/>
    <w:rsid w:val="00516213"/>
    <w:rsid w:val="005324A7"/>
    <w:rsid w:val="00532B9C"/>
    <w:rsid w:val="005408B2"/>
    <w:rsid w:val="005464EE"/>
    <w:rsid w:val="00546CFF"/>
    <w:rsid w:val="005507DB"/>
    <w:rsid w:val="0055274A"/>
    <w:rsid w:val="00570852"/>
    <w:rsid w:val="005740C0"/>
    <w:rsid w:val="00575874"/>
    <w:rsid w:val="00582E09"/>
    <w:rsid w:val="0058301E"/>
    <w:rsid w:val="00585089"/>
    <w:rsid w:val="00585614"/>
    <w:rsid w:val="00595177"/>
    <w:rsid w:val="00595EB5"/>
    <w:rsid w:val="00596B95"/>
    <w:rsid w:val="005A4500"/>
    <w:rsid w:val="005A5160"/>
    <w:rsid w:val="005B1237"/>
    <w:rsid w:val="005B4540"/>
    <w:rsid w:val="005B6116"/>
    <w:rsid w:val="005C2097"/>
    <w:rsid w:val="005C2C56"/>
    <w:rsid w:val="005C6B06"/>
    <w:rsid w:val="005D0585"/>
    <w:rsid w:val="005D328C"/>
    <w:rsid w:val="005D5692"/>
    <w:rsid w:val="005D59BF"/>
    <w:rsid w:val="005D5B98"/>
    <w:rsid w:val="005E070A"/>
    <w:rsid w:val="005F0C0E"/>
    <w:rsid w:val="005F419C"/>
    <w:rsid w:val="005F49EE"/>
    <w:rsid w:val="005F571B"/>
    <w:rsid w:val="005F606A"/>
    <w:rsid w:val="005F6181"/>
    <w:rsid w:val="00600B33"/>
    <w:rsid w:val="00603F41"/>
    <w:rsid w:val="00612652"/>
    <w:rsid w:val="00616D38"/>
    <w:rsid w:val="00627877"/>
    <w:rsid w:val="006321B7"/>
    <w:rsid w:val="006331DC"/>
    <w:rsid w:val="006364B3"/>
    <w:rsid w:val="00642DE9"/>
    <w:rsid w:val="00653423"/>
    <w:rsid w:val="00657712"/>
    <w:rsid w:val="00657810"/>
    <w:rsid w:val="00662665"/>
    <w:rsid w:val="00662E14"/>
    <w:rsid w:val="00664796"/>
    <w:rsid w:val="0066581F"/>
    <w:rsid w:val="00672E4C"/>
    <w:rsid w:val="00677DD6"/>
    <w:rsid w:val="00684DEF"/>
    <w:rsid w:val="006856D3"/>
    <w:rsid w:val="006871F6"/>
    <w:rsid w:val="00687A2B"/>
    <w:rsid w:val="00693227"/>
    <w:rsid w:val="00696AB5"/>
    <w:rsid w:val="006A1896"/>
    <w:rsid w:val="006A2253"/>
    <w:rsid w:val="006A3BC1"/>
    <w:rsid w:val="006B0A98"/>
    <w:rsid w:val="006B23EB"/>
    <w:rsid w:val="006B3211"/>
    <w:rsid w:val="006B55FE"/>
    <w:rsid w:val="006C09EB"/>
    <w:rsid w:val="006C28B7"/>
    <w:rsid w:val="006C4258"/>
    <w:rsid w:val="006D0FE0"/>
    <w:rsid w:val="006D210C"/>
    <w:rsid w:val="006D3AD8"/>
    <w:rsid w:val="006D42A7"/>
    <w:rsid w:val="006D4E5C"/>
    <w:rsid w:val="006E12A8"/>
    <w:rsid w:val="006E1D39"/>
    <w:rsid w:val="006E2417"/>
    <w:rsid w:val="006E64B2"/>
    <w:rsid w:val="006F3BE6"/>
    <w:rsid w:val="006F68D9"/>
    <w:rsid w:val="00710618"/>
    <w:rsid w:val="00710E14"/>
    <w:rsid w:val="00714BA1"/>
    <w:rsid w:val="007218EF"/>
    <w:rsid w:val="00722AD7"/>
    <w:rsid w:val="00722D99"/>
    <w:rsid w:val="007255FA"/>
    <w:rsid w:val="00731677"/>
    <w:rsid w:val="00733C9E"/>
    <w:rsid w:val="00736CDC"/>
    <w:rsid w:val="00744930"/>
    <w:rsid w:val="00747066"/>
    <w:rsid w:val="0075776B"/>
    <w:rsid w:val="00762778"/>
    <w:rsid w:val="00771AF5"/>
    <w:rsid w:val="007728F5"/>
    <w:rsid w:val="00777478"/>
    <w:rsid w:val="00782869"/>
    <w:rsid w:val="007871B7"/>
    <w:rsid w:val="00793B2C"/>
    <w:rsid w:val="00794A59"/>
    <w:rsid w:val="00795FDA"/>
    <w:rsid w:val="007972D2"/>
    <w:rsid w:val="00797B6A"/>
    <w:rsid w:val="007B0E87"/>
    <w:rsid w:val="007B2E32"/>
    <w:rsid w:val="007B7410"/>
    <w:rsid w:val="007C1064"/>
    <w:rsid w:val="007C2587"/>
    <w:rsid w:val="007C41FD"/>
    <w:rsid w:val="007D1E62"/>
    <w:rsid w:val="007D77E4"/>
    <w:rsid w:val="007E2FD2"/>
    <w:rsid w:val="007E7475"/>
    <w:rsid w:val="007F33ED"/>
    <w:rsid w:val="007F3DF9"/>
    <w:rsid w:val="00801376"/>
    <w:rsid w:val="00810C42"/>
    <w:rsid w:val="0081128A"/>
    <w:rsid w:val="00812ECA"/>
    <w:rsid w:val="00814A46"/>
    <w:rsid w:val="00816239"/>
    <w:rsid w:val="0081679E"/>
    <w:rsid w:val="00821C6E"/>
    <w:rsid w:val="0082279E"/>
    <w:rsid w:val="0082434B"/>
    <w:rsid w:val="008257CB"/>
    <w:rsid w:val="00830381"/>
    <w:rsid w:val="00832131"/>
    <w:rsid w:val="00840E57"/>
    <w:rsid w:val="0084228C"/>
    <w:rsid w:val="00847BD0"/>
    <w:rsid w:val="00861F57"/>
    <w:rsid w:val="008633DC"/>
    <w:rsid w:val="00866DDF"/>
    <w:rsid w:val="00873AAB"/>
    <w:rsid w:val="00874EA1"/>
    <w:rsid w:val="00875C16"/>
    <w:rsid w:val="0087697C"/>
    <w:rsid w:val="00881AAB"/>
    <w:rsid w:val="008A46FF"/>
    <w:rsid w:val="008B116D"/>
    <w:rsid w:val="008B1A44"/>
    <w:rsid w:val="008B2AB4"/>
    <w:rsid w:val="008B3573"/>
    <w:rsid w:val="008B43FA"/>
    <w:rsid w:val="008B60C4"/>
    <w:rsid w:val="008C064E"/>
    <w:rsid w:val="008C5F91"/>
    <w:rsid w:val="008C7889"/>
    <w:rsid w:val="008D4F8F"/>
    <w:rsid w:val="008E30CC"/>
    <w:rsid w:val="008F0234"/>
    <w:rsid w:val="008F410A"/>
    <w:rsid w:val="008F7821"/>
    <w:rsid w:val="00903611"/>
    <w:rsid w:val="009037DE"/>
    <w:rsid w:val="00907E86"/>
    <w:rsid w:val="00923CF0"/>
    <w:rsid w:val="009315BA"/>
    <w:rsid w:val="009326D6"/>
    <w:rsid w:val="00932C83"/>
    <w:rsid w:val="009356F5"/>
    <w:rsid w:val="00942449"/>
    <w:rsid w:val="00942759"/>
    <w:rsid w:val="00946269"/>
    <w:rsid w:val="00946F7A"/>
    <w:rsid w:val="00947B91"/>
    <w:rsid w:val="0095152D"/>
    <w:rsid w:val="00955B3A"/>
    <w:rsid w:val="0095795A"/>
    <w:rsid w:val="00962931"/>
    <w:rsid w:val="00980439"/>
    <w:rsid w:val="009840D9"/>
    <w:rsid w:val="00985252"/>
    <w:rsid w:val="00990260"/>
    <w:rsid w:val="00992694"/>
    <w:rsid w:val="009A37FF"/>
    <w:rsid w:val="009B13D4"/>
    <w:rsid w:val="009B1A98"/>
    <w:rsid w:val="009C058F"/>
    <w:rsid w:val="009C325F"/>
    <w:rsid w:val="009C442E"/>
    <w:rsid w:val="009D2F4A"/>
    <w:rsid w:val="009E1720"/>
    <w:rsid w:val="009E27C4"/>
    <w:rsid w:val="009F28EC"/>
    <w:rsid w:val="009F690B"/>
    <w:rsid w:val="00A011B9"/>
    <w:rsid w:val="00A013B8"/>
    <w:rsid w:val="00A029F0"/>
    <w:rsid w:val="00A11E66"/>
    <w:rsid w:val="00A123A1"/>
    <w:rsid w:val="00A15FDF"/>
    <w:rsid w:val="00A308FC"/>
    <w:rsid w:val="00A328BF"/>
    <w:rsid w:val="00A35A50"/>
    <w:rsid w:val="00A42F2E"/>
    <w:rsid w:val="00A4408D"/>
    <w:rsid w:val="00A445C2"/>
    <w:rsid w:val="00A4522A"/>
    <w:rsid w:val="00A4570A"/>
    <w:rsid w:val="00A50129"/>
    <w:rsid w:val="00A52597"/>
    <w:rsid w:val="00A642F7"/>
    <w:rsid w:val="00A73920"/>
    <w:rsid w:val="00A753B0"/>
    <w:rsid w:val="00A7725B"/>
    <w:rsid w:val="00A80219"/>
    <w:rsid w:val="00A82BAA"/>
    <w:rsid w:val="00A87EF8"/>
    <w:rsid w:val="00A9067F"/>
    <w:rsid w:val="00A9560E"/>
    <w:rsid w:val="00A9763D"/>
    <w:rsid w:val="00AB0E76"/>
    <w:rsid w:val="00AB207B"/>
    <w:rsid w:val="00AB2438"/>
    <w:rsid w:val="00AC205F"/>
    <w:rsid w:val="00AD1540"/>
    <w:rsid w:val="00AD2282"/>
    <w:rsid w:val="00AD2AF1"/>
    <w:rsid w:val="00AD4A47"/>
    <w:rsid w:val="00AE1330"/>
    <w:rsid w:val="00AE3BCC"/>
    <w:rsid w:val="00AE774D"/>
    <w:rsid w:val="00AF44E8"/>
    <w:rsid w:val="00AF48B2"/>
    <w:rsid w:val="00AF5C8D"/>
    <w:rsid w:val="00B01BDA"/>
    <w:rsid w:val="00B034D1"/>
    <w:rsid w:val="00B049AF"/>
    <w:rsid w:val="00B07CE4"/>
    <w:rsid w:val="00B1238E"/>
    <w:rsid w:val="00B1612B"/>
    <w:rsid w:val="00B1661A"/>
    <w:rsid w:val="00B16A68"/>
    <w:rsid w:val="00B17E47"/>
    <w:rsid w:val="00B21FEE"/>
    <w:rsid w:val="00B22325"/>
    <w:rsid w:val="00B2435E"/>
    <w:rsid w:val="00B30E82"/>
    <w:rsid w:val="00B31033"/>
    <w:rsid w:val="00B31B7B"/>
    <w:rsid w:val="00B32568"/>
    <w:rsid w:val="00B343A9"/>
    <w:rsid w:val="00B34429"/>
    <w:rsid w:val="00B34CCD"/>
    <w:rsid w:val="00B35B99"/>
    <w:rsid w:val="00B36950"/>
    <w:rsid w:val="00B40C80"/>
    <w:rsid w:val="00B42DFF"/>
    <w:rsid w:val="00B50B43"/>
    <w:rsid w:val="00B51A3B"/>
    <w:rsid w:val="00B52B62"/>
    <w:rsid w:val="00B53B6C"/>
    <w:rsid w:val="00B54F83"/>
    <w:rsid w:val="00B60AEE"/>
    <w:rsid w:val="00B644B5"/>
    <w:rsid w:val="00B6665A"/>
    <w:rsid w:val="00B671D9"/>
    <w:rsid w:val="00B73148"/>
    <w:rsid w:val="00B748BB"/>
    <w:rsid w:val="00B77664"/>
    <w:rsid w:val="00B77C84"/>
    <w:rsid w:val="00B86975"/>
    <w:rsid w:val="00B93371"/>
    <w:rsid w:val="00B962F4"/>
    <w:rsid w:val="00B97BCA"/>
    <w:rsid w:val="00BA7C03"/>
    <w:rsid w:val="00BC256C"/>
    <w:rsid w:val="00BC581E"/>
    <w:rsid w:val="00BD19A6"/>
    <w:rsid w:val="00BD675C"/>
    <w:rsid w:val="00BE01C6"/>
    <w:rsid w:val="00BE66F8"/>
    <w:rsid w:val="00BF1198"/>
    <w:rsid w:val="00BF14CF"/>
    <w:rsid w:val="00BF1EBC"/>
    <w:rsid w:val="00BF323F"/>
    <w:rsid w:val="00C0034E"/>
    <w:rsid w:val="00C024CB"/>
    <w:rsid w:val="00C04C2D"/>
    <w:rsid w:val="00C1007D"/>
    <w:rsid w:val="00C140DE"/>
    <w:rsid w:val="00C15CFF"/>
    <w:rsid w:val="00C255F5"/>
    <w:rsid w:val="00C2593E"/>
    <w:rsid w:val="00C2629F"/>
    <w:rsid w:val="00C2795E"/>
    <w:rsid w:val="00C354EB"/>
    <w:rsid w:val="00C45C86"/>
    <w:rsid w:val="00C523A5"/>
    <w:rsid w:val="00C536B0"/>
    <w:rsid w:val="00C54C26"/>
    <w:rsid w:val="00C562AD"/>
    <w:rsid w:val="00C63996"/>
    <w:rsid w:val="00C64475"/>
    <w:rsid w:val="00C64956"/>
    <w:rsid w:val="00C66FDA"/>
    <w:rsid w:val="00C71DEC"/>
    <w:rsid w:val="00C72BF2"/>
    <w:rsid w:val="00C75E96"/>
    <w:rsid w:val="00C7713B"/>
    <w:rsid w:val="00C814D6"/>
    <w:rsid w:val="00C8307E"/>
    <w:rsid w:val="00C9377E"/>
    <w:rsid w:val="00CA0B64"/>
    <w:rsid w:val="00CA1253"/>
    <w:rsid w:val="00CA2829"/>
    <w:rsid w:val="00CA6226"/>
    <w:rsid w:val="00CB44D1"/>
    <w:rsid w:val="00CC0654"/>
    <w:rsid w:val="00CC0F05"/>
    <w:rsid w:val="00CC1326"/>
    <w:rsid w:val="00CC47A0"/>
    <w:rsid w:val="00CC52C4"/>
    <w:rsid w:val="00CC639B"/>
    <w:rsid w:val="00CC7160"/>
    <w:rsid w:val="00CC7CDB"/>
    <w:rsid w:val="00CD2B7F"/>
    <w:rsid w:val="00CD520D"/>
    <w:rsid w:val="00CE298F"/>
    <w:rsid w:val="00CE61A1"/>
    <w:rsid w:val="00CF04C5"/>
    <w:rsid w:val="00CF243D"/>
    <w:rsid w:val="00CF35C5"/>
    <w:rsid w:val="00CF6B90"/>
    <w:rsid w:val="00D02698"/>
    <w:rsid w:val="00D064A0"/>
    <w:rsid w:val="00D06F76"/>
    <w:rsid w:val="00D1068C"/>
    <w:rsid w:val="00D17D9A"/>
    <w:rsid w:val="00D2467B"/>
    <w:rsid w:val="00D25D24"/>
    <w:rsid w:val="00D31F11"/>
    <w:rsid w:val="00D32883"/>
    <w:rsid w:val="00D33DE9"/>
    <w:rsid w:val="00D35714"/>
    <w:rsid w:val="00D36407"/>
    <w:rsid w:val="00D3733E"/>
    <w:rsid w:val="00D37A47"/>
    <w:rsid w:val="00D4243A"/>
    <w:rsid w:val="00D43DB9"/>
    <w:rsid w:val="00D45621"/>
    <w:rsid w:val="00D458B0"/>
    <w:rsid w:val="00D47BF8"/>
    <w:rsid w:val="00D63031"/>
    <w:rsid w:val="00D66A3E"/>
    <w:rsid w:val="00D671B4"/>
    <w:rsid w:val="00D67E4B"/>
    <w:rsid w:val="00D77225"/>
    <w:rsid w:val="00D77DEC"/>
    <w:rsid w:val="00D84D6E"/>
    <w:rsid w:val="00D85F4F"/>
    <w:rsid w:val="00D90A16"/>
    <w:rsid w:val="00D92CB7"/>
    <w:rsid w:val="00D971D2"/>
    <w:rsid w:val="00D97518"/>
    <w:rsid w:val="00DA7B13"/>
    <w:rsid w:val="00DB0ABA"/>
    <w:rsid w:val="00DB2319"/>
    <w:rsid w:val="00DB3667"/>
    <w:rsid w:val="00DB430E"/>
    <w:rsid w:val="00DB6FA0"/>
    <w:rsid w:val="00DC14AD"/>
    <w:rsid w:val="00DC6DE5"/>
    <w:rsid w:val="00DD136A"/>
    <w:rsid w:val="00DD2DB7"/>
    <w:rsid w:val="00DD3FA6"/>
    <w:rsid w:val="00DD5CA5"/>
    <w:rsid w:val="00DD77FA"/>
    <w:rsid w:val="00DE2CCB"/>
    <w:rsid w:val="00DE5A47"/>
    <w:rsid w:val="00DE70A8"/>
    <w:rsid w:val="00DF0A2D"/>
    <w:rsid w:val="00DF6052"/>
    <w:rsid w:val="00E029D7"/>
    <w:rsid w:val="00E03BD8"/>
    <w:rsid w:val="00E070CB"/>
    <w:rsid w:val="00E07BDA"/>
    <w:rsid w:val="00E109F5"/>
    <w:rsid w:val="00E13B58"/>
    <w:rsid w:val="00E163C4"/>
    <w:rsid w:val="00E21799"/>
    <w:rsid w:val="00E23223"/>
    <w:rsid w:val="00E24B3F"/>
    <w:rsid w:val="00E24BEF"/>
    <w:rsid w:val="00E3002E"/>
    <w:rsid w:val="00E30448"/>
    <w:rsid w:val="00E33AA6"/>
    <w:rsid w:val="00E37F6C"/>
    <w:rsid w:val="00E41A17"/>
    <w:rsid w:val="00E42A30"/>
    <w:rsid w:val="00E4584A"/>
    <w:rsid w:val="00E46C0A"/>
    <w:rsid w:val="00E46D78"/>
    <w:rsid w:val="00E52829"/>
    <w:rsid w:val="00E55457"/>
    <w:rsid w:val="00E60564"/>
    <w:rsid w:val="00E71EA6"/>
    <w:rsid w:val="00E7340F"/>
    <w:rsid w:val="00E74E1A"/>
    <w:rsid w:val="00E76D01"/>
    <w:rsid w:val="00E76E8F"/>
    <w:rsid w:val="00E8089C"/>
    <w:rsid w:val="00E81740"/>
    <w:rsid w:val="00E84580"/>
    <w:rsid w:val="00E85838"/>
    <w:rsid w:val="00E866A7"/>
    <w:rsid w:val="00E87159"/>
    <w:rsid w:val="00E902AE"/>
    <w:rsid w:val="00E90FDC"/>
    <w:rsid w:val="00E91B52"/>
    <w:rsid w:val="00EA0B6F"/>
    <w:rsid w:val="00EA1F3A"/>
    <w:rsid w:val="00EA45D8"/>
    <w:rsid w:val="00EA5644"/>
    <w:rsid w:val="00EA7492"/>
    <w:rsid w:val="00EB13D9"/>
    <w:rsid w:val="00EB5883"/>
    <w:rsid w:val="00EC285B"/>
    <w:rsid w:val="00EC37DA"/>
    <w:rsid w:val="00EC5557"/>
    <w:rsid w:val="00ED378A"/>
    <w:rsid w:val="00ED379E"/>
    <w:rsid w:val="00ED4939"/>
    <w:rsid w:val="00EE20D9"/>
    <w:rsid w:val="00EE3FE6"/>
    <w:rsid w:val="00EF00E3"/>
    <w:rsid w:val="00EF4C04"/>
    <w:rsid w:val="00F1003A"/>
    <w:rsid w:val="00F11B47"/>
    <w:rsid w:val="00F120D0"/>
    <w:rsid w:val="00F15022"/>
    <w:rsid w:val="00F15F55"/>
    <w:rsid w:val="00F1796B"/>
    <w:rsid w:val="00F17ED5"/>
    <w:rsid w:val="00F2143B"/>
    <w:rsid w:val="00F21A0C"/>
    <w:rsid w:val="00F26A45"/>
    <w:rsid w:val="00F31E1B"/>
    <w:rsid w:val="00F323F4"/>
    <w:rsid w:val="00F32A2E"/>
    <w:rsid w:val="00F344D3"/>
    <w:rsid w:val="00F42FF2"/>
    <w:rsid w:val="00F52AFE"/>
    <w:rsid w:val="00F53359"/>
    <w:rsid w:val="00F5586D"/>
    <w:rsid w:val="00F561E3"/>
    <w:rsid w:val="00F6313D"/>
    <w:rsid w:val="00F64B0E"/>
    <w:rsid w:val="00F66CEA"/>
    <w:rsid w:val="00F70DD3"/>
    <w:rsid w:val="00F73AD5"/>
    <w:rsid w:val="00F81EC1"/>
    <w:rsid w:val="00F82AC2"/>
    <w:rsid w:val="00F852C4"/>
    <w:rsid w:val="00F86A95"/>
    <w:rsid w:val="00F9263E"/>
    <w:rsid w:val="00F943AE"/>
    <w:rsid w:val="00F94E50"/>
    <w:rsid w:val="00F95781"/>
    <w:rsid w:val="00FA040D"/>
    <w:rsid w:val="00FA136B"/>
    <w:rsid w:val="00FC09C2"/>
    <w:rsid w:val="00FC41BC"/>
    <w:rsid w:val="00FC5AD4"/>
    <w:rsid w:val="00FC6D1F"/>
    <w:rsid w:val="00FD03F2"/>
    <w:rsid w:val="00FD0C2A"/>
    <w:rsid w:val="00FD4398"/>
    <w:rsid w:val="00FF0378"/>
    <w:rsid w:val="00FF23F5"/>
    <w:rsid w:val="00FF69F1"/>
    <w:rsid w:val="77ACC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56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3"/>
    <w:next w:val="1"/>
    <w:link w:val="16"/>
    <w:qFormat/>
    <w:uiPriority w:val="9"/>
    <w:pPr>
      <w:outlineLvl w:val="0"/>
    </w:pPr>
  </w:style>
  <w:style w:type="paragraph" w:styleId="3">
    <w:name w:val="heading 2"/>
    <w:basedOn w:val="1"/>
    <w:next w:val="1"/>
    <w:link w:val="17"/>
    <w:unhideWhenUsed/>
    <w:qFormat/>
    <w:uiPriority w:val="9"/>
    <w:pPr>
      <w:widowControl w:val="0"/>
      <w:spacing w:before="156" w:beforeLines="50" w:line="360" w:lineRule="auto"/>
      <w:ind w:firstLine="0" w:firstLineChars="0"/>
      <w:jc w:val="left"/>
      <w:outlineLvl w:val="1"/>
    </w:pPr>
    <w:rPr>
      <w:rFonts w:cstheme="majorBidi"/>
      <w:b/>
      <w:bCs/>
      <w:szCs w:val="32"/>
    </w:rPr>
  </w:style>
  <w:style w:type="paragraph" w:styleId="4">
    <w:name w:val="heading 3"/>
    <w:basedOn w:val="3"/>
    <w:next w:val="1"/>
    <w:link w:val="18"/>
    <w:unhideWhenUsed/>
    <w:qFormat/>
    <w:uiPriority w:val="9"/>
    <w:pPr>
      <w:outlineLvl w:val="2"/>
    </w:pPr>
  </w:style>
  <w:style w:type="paragraph" w:styleId="5">
    <w:name w:val="heading 4"/>
    <w:basedOn w:val="1"/>
    <w:next w:val="1"/>
    <w:link w:val="26"/>
    <w:unhideWhenUsed/>
    <w:qFormat/>
    <w:uiPriority w:val="9"/>
    <w:pPr>
      <w:keepNext/>
      <w:keepLines/>
      <w:spacing w:before="280" w:after="290" w:line="376" w:lineRule="auto"/>
      <w:ind w:firstLine="562"/>
      <w:outlineLvl w:val="3"/>
    </w:pPr>
    <w:rPr>
      <w:rFonts w:ascii="仿宋" w:hAnsi="仿宋" w:cstheme="majorBidi"/>
      <w:b/>
      <w:bCs/>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qFormat/>
    <w:uiPriority w:val="1"/>
    <w:pPr>
      <w:widowControl w:val="0"/>
      <w:autoSpaceDE w:val="0"/>
      <w:autoSpaceDN w:val="0"/>
      <w:ind w:firstLine="0" w:firstLineChars="0"/>
      <w:jc w:val="left"/>
    </w:pPr>
    <w:rPr>
      <w:rFonts w:ascii="仿宋" w:hAnsi="仿宋" w:cs="仿宋"/>
      <w:kern w:val="0"/>
      <w:szCs w:val="28"/>
      <w:lang w:eastAsia="en-US"/>
    </w:rPr>
  </w:style>
  <w:style w:type="paragraph" w:styleId="7">
    <w:name w:val="toc 3"/>
    <w:basedOn w:val="1"/>
    <w:next w:val="1"/>
    <w:unhideWhenUsed/>
    <w:qFormat/>
    <w:uiPriority w:val="39"/>
    <w:pPr>
      <w:ind w:left="840" w:leftChars="400"/>
    </w:p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before="312" w:beforeLines="100"/>
      <w:ind w:left="643" w:hanging="643" w:hangingChars="200"/>
    </w:pPr>
    <w:rPr>
      <w:b/>
      <w:sz w:val="32"/>
      <w:szCs w:val="24"/>
    </w:rPr>
  </w:style>
  <w:style w:type="paragraph" w:styleId="11">
    <w:name w:val="toc 2"/>
    <w:basedOn w:val="1"/>
    <w:next w:val="1"/>
    <w:unhideWhenUsed/>
    <w:qFormat/>
    <w:uiPriority w:val="3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rFonts w:cstheme="majorBidi"/>
      <w:b/>
      <w:bCs/>
      <w:sz w:val="28"/>
      <w:szCs w:val="32"/>
    </w:rPr>
  </w:style>
  <w:style w:type="character" w:customStyle="1" w:styleId="17">
    <w:name w:val="标题 2 字符"/>
    <w:basedOn w:val="14"/>
    <w:link w:val="3"/>
    <w:qFormat/>
    <w:uiPriority w:val="9"/>
    <w:rPr>
      <w:rFonts w:cstheme="majorBidi"/>
      <w:b/>
      <w:bCs/>
      <w:sz w:val="28"/>
      <w:szCs w:val="32"/>
    </w:rPr>
  </w:style>
  <w:style w:type="character" w:customStyle="1" w:styleId="18">
    <w:name w:val="标题 3 字符"/>
    <w:basedOn w:val="14"/>
    <w:link w:val="4"/>
    <w:qFormat/>
    <w:uiPriority w:val="9"/>
    <w:rPr>
      <w:rFonts w:cstheme="majorBidi"/>
      <w:b/>
      <w:bCs/>
      <w:sz w:val="28"/>
      <w:szCs w:val="32"/>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table" w:customStyle="1" w:styleId="22">
    <w:name w:val="Table Normal"/>
    <w:semiHidden/>
    <w:unhideWhenUsed/>
    <w:qFormat/>
    <w:uiPriority w:val="2"/>
    <w:pPr>
      <w:widowControl w:val="0"/>
      <w:autoSpaceDE w:val="0"/>
      <w:autoSpaceDN w:val="0"/>
    </w:pPr>
    <w:rPr>
      <w:rFonts w:asciiTheme="minorHAnsi" w:hAnsiTheme="minorHAnsi" w:eastAsiaTheme="minorEastAsia"/>
      <w:kern w:val="0"/>
      <w:sz w:val="22"/>
      <w:lang w:eastAsia="en-US"/>
    </w:rPr>
    <w:tblPr>
      <w:tblCellMar>
        <w:top w:w="0" w:type="dxa"/>
        <w:left w:w="0" w:type="dxa"/>
        <w:bottom w:w="0" w:type="dxa"/>
        <w:right w:w="0" w:type="dxa"/>
      </w:tblCellMar>
    </w:tblPr>
  </w:style>
  <w:style w:type="character" w:customStyle="1" w:styleId="23">
    <w:name w:val="正文文本 字符"/>
    <w:basedOn w:val="14"/>
    <w:link w:val="6"/>
    <w:uiPriority w:val="1"/>
    <w:rPr>
      <w:rFonts w:ascii="仿宋" w:hAnsi="仿宋" w:cs="仿宋"/>
      <w:kern w:val="0"/>
      <w:sz w:val="28"/>
      <w:szCs w:val="28"/>
      <w:lang w:eastAsia="en-US"/>
    </w:rPr>
  </w:style>
  <w:style w:type="paragraph" w:customStyle="1" w:styleId="24">
    <w:name w:val="Table Paragraph"/>
    <w:basedOn w:val="1"/>
    <w:qFormat/>
    <w:uiPriority w:val="1"/>
    <w:pPr>
      <w:widowControl w:val="0"/>
      <w:autoSpaceDE w:val="0"/>
      <w:autoSpaceDN w:val="0"/>
      <w:ind w:firstLine="0" w:firstLineChars="0"/>
      <w:jc w:val="center"/>
    </w:pPr>
    <w:rPr>
      <w:rFonts w:ascii="仿宋" w:hAnsi="仿宋" w:cs="仿宋"/>
      <w:kern w:val="0"/>
      <w:sz w:val="22"/>
      <w:lang w:eastAsia="en-US"/>
    </w:rPr>
  </w:style>
  <w:style w:type="paragraph" w:styleId="25">
    <w:name w:val="List Paragraph"/>
    <w:basedOn w:val="1"/>
    <w:qFormat/>
    <w:uiPriority w:val="34"/>
    <w:pPr>
      <w:widowControl w:val="0"/>
      <w:autoSpaceDE w:val="0"/>
      <w:autoSpaceDN w:val="0"/>
      <w:ind w:firstLine="420"/>
      <w:jc w:val="left"/>
    </w:pPr>
    <w:rPr>
      <w:rFonts w:ascii="仿宋" w:hAnsi="仿宋" w:cs="仿宋"/>
      <w:kern w:val="0"/>
      <w:sz w:val="22"/>
      <w:lang w:eastAsia="en-US"/>
    </w:rPr>
  </w:style>
  <w:style w:type="character" w:customStyle="1" w:styleId="26">
    <w:name w:val="标题 4 字符"/>
    <w:basedOn w:val="14"/>
    <w:link w:val="5"/>
    <w:uiPriority w:val="9"/>
    <w:rPr>
      <w:rFonts w:ascii="仿宋" w:hAnsi="仿宋" w:cstheme="majorBidi"/>
      <w:b/>
      <w:bCs/>
      <w:sz w:val="28"/>
      <w:szCs w:val="28"/>
    </w:rPr>
  </w:style>
  <w:style w:type="character" w:customStyle="1" w:styleId="27">
    <w:name w:val="markedcontent"/>
    <w:basedOn w:val="14"/>
    <w:uiPriority w:val="0"/>
  </w:style>
  <w:style w:type="character" w:customStyle="1" w:styleId="28">
    <w:name w:val="highlight"/>
    <w:basedOn w:val="14"/>
    <w:uiPriority w:val="0"/>
  </w:style>
  <w:style w:type="paragraph" w:customStyle="1" w:styleId="29">
    <w:name w:val="0-表格"/>
    <w:basedOn w:val="1"/>
    <w:link w:val="30"/>
    <w:qFormat/>
    <w:uiPriority w:val="0"/>
    <w:pPr>
      <w:widowControl w:val="0"/>
      <w:ind w:firstLine="0" w:firstLineChars="0"/>
      <w:jc w:val="center"/>
    </w:pPr>
    <w:rPr>
      <w:rFonts w:ascii="仿宋_GB2312" w:eastAsia="仿宋_GB2312" w:hAnsiTheme="minorHAnsi"/>
      <w:sz w:val="21"/>
      <w:szCs w:val="20"/>
    </w:rPr>
  </w:style>
  <w:style w:type="character" w:customStyle="1" w:styleId="30">
    <w:name w:val="0-表格 Char"/>
    <w:basedOn w:val="14"/>
    <w:link w:val="29"/>
    <w:uiPriority w:val="0"/>
    <w:rPr>
      <w:rFonts w:ascii="仿宋_GB2312" w:eastAsia="仿宋_GB2312" w:hAnsiTheme="minorHAnsi"/>
      <w:sz w:val="21"/>
      <w:szCs w:val="20"/>
    </w:rPr>
  </w:style>
  <w:style w:type="paragraph" w:customStyle="1" w:styleId="31">
    <w:name w:val="文本正文"/>
    <w:basedOn w:val="1"/>
    <w:link w:val="32"/>
    <w:qFormat/>
    <w:uiPriority w:val="0"/>
    <w:pPr>
      <w:widowControl w:val="0"/>
      <w:spacing w:line="360" w:lineRule="auto"/>
      <w:ind w:firstLine="200"/>
    </w:pPr>
    <w:rPr>
      <w:rFonts w:asciiTheme="minorHAnsi" w:hAnsiTheme="minorHAnsi"/>
      <w:sz w:val="30"/>
    </w:rPr>
  </w:style>
  <w:style w:type="character" w:customStyle="1" w:styleId="32">
    <w:name w:val="文本正文 Char"/>
    <w:basedOn w:val="14"/>
    <w:link w:val="31"/>
    <w:qFormat/>
    <w:uiPriority w:val="0"/>
    <w:rPr>
      <w:rFonts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TAUPD</Company>
  <Pages>20</Pages>
  <Words>1161</Words>
  <Characters>6623</Characters>
  <Lines>55</Lines>
  <Paragraphs>15</Paragraphs>
  <TotalTime>1</TotalTime>
  <ScaleCrop>false</ScaleCrop>
  <LinksUpToDate>false</LinksUpToDate>
  <CharactersWithSpaces>7769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2024-07-31T15:07:00Z</dcterms:created>
  <dc:creator>赵 光</dc:creator>
  <cp:lastModifiedBy>kylin</cp:lastModifiedBy>
  <cp:lastPrinted>2024-06-21T10:46:00Z</cp:lastPrinted>
  <dcterms:modified xsi:type="dcterms:W3CDTF">2024-08-14T15:24:31Z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