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800" w:lineRule="exact"/>
        <w:jc w:val="center"/>
        <w:rPr>
          <w:rFonts w:ascii="方正小标宋简体" w:hAnsi="华文中宋" w:eastAsia="方正小标宋简体"/>
          <w:color w:val="000000"/>
          <w:kern w:val="0"/>
          <w:sz w:val="44"/>
          <w:szCs w:val="44"/>
        </w:rPr>
      </w:pPr>
      <w:r>
        <w:rPr>
          <w:rFonts w:hint="eastAsia" w:ascii="方正小标宋简体" w:hAnsi="华文中宋" w:eastAsia="方正小标宋简体" w:cs="方正小标宋简体"/>
          <w:color w:val="000000"/>
          <w:kern w:val="0"/>
          <w:sz w:val="44"/>
          <w:szCs w:val="44"/>
        </w:rPr>
        <w:t>西青区应急管理局</w:t>
      </w:r>
      <w:r>
        <w:rPr>
          <w:rFonts w:ascii="方正小标宋简体" w:hAnsi="华文中宋" w:eastAsia="方正小标宋简体" w:cs="方正小标宋简体"/>
          <w:color w:val="000000"/>
          <w:kern w:val="0"/>
          <w:sz w:val="44"/>
          <w:szCs w:val="44"/>
        </w:rPr>
        <w:t>2019</w:t>
      </w:r>
      <w:r>
        <w:rPr>
          <w:rFonts w:hint="eastAsia" w:ascii="方正小标宋简体" w:hAnsi="华文中宋" w:eastAsia="方正小标宋简体" w:cs="方正小标宋简体"/>
          <w:color w:val="000000"/>
          <w:kern w:val="0"/>
          <w:sz w:val="44"/>
          <w:szCs w:val="44"/>
        </w:rPr>
        <w:t>年政府信息公开</w:t>
      </w:r>
    </w:p>
    <w:p>
      <w:pPr>
        <w:widowControl/>
        <w:shd w:val="clear" w:color="auto" w:fill="FFFFFF"/>
        <w:spacing w:line="800" w:lineRule="exact"/>
        <w:jc w:val="center"/>
        <w:rPr>
          <w:rFonts w:ascii="方正小标宋简体" w:hAnsi="华文中宋" w:eastAsia="方正小标宋简体"/>
          <w:color w:val="000000"/>
          <w:kern w:val="0"/>
          <w:sz w:val="44"/>
          <w:szCs w:val="44"/>
        </w:rPr>
      </w:pPr>
      <w:r>
        <w:rPr>
          <w:rFonts w:hint="eastAsia" w:ascii="方正小标宋简体" w:hAnsi="华文中宋" w:eastAsia="方正小标宋简体" w:cs="方正小标宋简体"/>
          <w:color w:val="000000"/>
          <w:kern w:val="0"/>
          <w:sz w:val="44"/>
          <w:szCs w:val="44"/>
        </w:rPr>
        <w:t>年度报告</w:t>
      </w:r>
    </w:p>
    <w:p>
      <w:pPr>
        <w:widowControl/>
        <w:shd w:val="clear" w:color="auto" w:fill="FFFFFF"/>
        <w:ind w:firstLine="480"/>
        <w:rPr>
          <w:rFonts w:ascii="仿宋" w:hAnsi="仿宋" w:eastAsia="仿宋"/>
          <w:color w:val="3D3D3D"/>
          <w:kern w:val="0"/>
          <w:sz w:val="32"/>
          <w:szCs w:val="32"/>
        </w:rPr>
      </w:pPr>
    </w:p>
    <w:p>
      <w:pPr>
        <w:widowControl/>
        <w:shd w:val="clear" w:color="auto" w:fill="FFFFFF"/>
        <w:ind w:firstLine="480"/>
        <w:rPr>
          <w:rFonts w:ascii="宋体"/>
          <w:color w:val="333333"/>
          <w:kern w:val="0"/>
          <w:sz w:val="32"/>
          <w:szCs w:val="32"/>
        </w:rPr>
      </w:pPr>
      <w:r>
        <w:rPr>
          <w:rFonts w:ascii="仿宋" w:hAnsi="仿宋" w:eastAsia="仿宋" w:cs="仿宋"/>
          <w:color w:val="3D3D3D"/>
          <w:kern w:val="0"/>
          <w:sz w:val="32"/>
          <w:szCs w:val="32"/>
        </w:rPr>
        <w:t xml:space="preserve"> </w:t>
      </w:r>
      <w:r>
        <w:rPr>
          <w:rFonts w:hint="eastAsia" w:ascii="仿宋" w:hAnsi="仿宋" w:eastAsia="仿宋" w:cs="仿宋"/>
          <w:color w:val="3D3D3D"/>
          <w:kern w:val="0"/>
          <w:sz w:val="32"/>
          <w:szCs w:val="32"/>
        </w:rPr>
        <w:t>本报告根据《中华人民共和国政府信息公开条例》（国务院令第</w:t>
      </w:r>
      <w:r>
        <w:rPr>
          <w:rFonts w:ascii="仿宋" w:hAnsi="仿宋" w:eastAsia="仿宋" w:cs="仿宋"/>
          <w:color w:val="3D3D3D"/>
          <w:kern w:val="0"/>
          <w:sz w:val="32"/>
          <w:szCs w:val="32"/>
        </w:rPr>
        <w:t>711</w:t>
      </w:r>
      <w:r>
        <w:rPr>
          <w:rFonts w:hint="eastAsia" w:ascii="仿宋" w:hAnsi="仿宋" w:eastAsia="仿宋" w:cs="仿宋"/>
          <w:color w:val="3D3D3D"/>
          <w:kern w:val="0"/>
          <w:sz w:val="32"/>
          <w:szCs w:val="32"/>
        </w:rPr>
        <w:t>号）的规定编制，所列数据的统计期限自</w:t>
      </w:r>
      <w:r>
        <w:rPr>
          <w:rFonts w:ascii="仿宋" w:hAnsi="仿宋" w:eastAsia="仿宋" w:cs="仿宋"/>
          <w:color w:val="3D3D3D"/>
          <w:kern w:val="0"/>
          <w:sz w:val="32"/>
          <w:szCs w:val="32"/>
        </w:rPr>
        <w:t>2019</w:t>
      </w:r>
      <w:r>
        <w:rPr>
          <w:rFonts w:hint="eastAsia" w:ascii="仿宋" w:hAnsi="仿宋" w:eastAsia="仿宋" w:cs="仿宋"/>
          <w:color w:val="3D3D3D"/>
          <w:kern w:val="0"/>
          <w:sz w:val="32"/>
          <w:szCs w:val="32"/>
        </w:rPr>
        <w:t>年</w:t>
      </w:r>
      <w:r>
        <w:rPr>
          <w:rFonts w:ascii="仿宋" w:hAnsi="仿宋" w:eastAsia="仿宋" w:cs="仿宋"/>
          <w:color w:val="3D3D3D"/>
          <w:kern w:val="0"/>
          <w:sz w:val="32"/>
          <w:szCs w:val="32"/>
        </w:rPr>
        <w:t>1</w:t>
      </w:r>
      <w:r>
        <w:rPr>
          <w:rFonts w:hint="eastAsia" w:ascii="仿宋" w:hAnsi="仿宋" w:eastAsia="仿宋" w:cs="仿宋"/>
          <w:color w:val="3D3D3D"/>
          <w:kern w:val="0"/>
          <w:sz w:val="32"/>
          <w:szCs w:val="32"/>
        </w:rPr>
        <w:t>月</w:t>
      </w:r>
      <w:r>
        <w:rPr>
          <w:rFonts w:ascii="仿宋" w:hAnsi="仿宋" w:eastAsia="仿宋" w:cs="仿宋"/>
          <w:color w:val="3D3D3D"/>
          <w:kern w:val="0"/>
          <w:sz w:val="32"/>
          <w:szCs w:val="32"/>
        </w:rPr>
        <w:t>1</w:t>
      </w:r>
      <w:r>
        <w:rPr>
          <w:rFonts w:hint="eastAsia" w:ascii="仿宋" w:hAnsi="仿宋" w:eastAsia="仿宋" w:cs="仿宋"/>
          <w:color w:val="3D3D3D"/>
          <w:kern w:val="0"/>
          <w:sz w:val="32"/>
          <w:szCs w:val="32"/>
        </w:rPr>
        <w:t>日起，至</w:t>
      </w:r>
      <w:r>
        <w:rPr>
          <w:rFonts w:ascii="仿宋" w:hAnsi="仿宋" w:eastAsia="仿宋" w:cs="仿宋"/>
          <w:color w:val="3D3D3D"/>
          <w:kern w:val="0"/>
          <w:sz w:val="32"/>
          <w:szCs w:val="32"/>
        </w:rPr>
        <w:t>2019</w:t>
      </w:r>
      <w:r>
        <w:rPr>
          <w:rFonts w:hint="eastAsia" w:ascii="仿宋" w:hAnsi="仿宋" w:eastAsia="仿宋" w:cs="仿宋"/>
          <w:color w:val="3D3D3D"/>
          <w:kern w:val="0"/>
          <w:sz w:val="32"/>
          <w:szCs w:val="32"/>
        </w:rPr>
        <w:t>年</w:t>
      </w:r>
      <w:r>
        <w:rPr>
          <w:rFonts w:ascii="仿宋" w:hAnsi="仿宋" w:eastAsia="仿宋" w:cs="仿宋"/>
          <w:color w:val="3D3D3D"/>
          <w:kern w:val="0"/>
          <w:sz w:val="32"/>
          <w:szCs w:val="32"/>
        </w:rPr>
        <w:t>12</w:t>
      </w:r>
      <w:r>
        <w:rPr>
          <w:rFonts w:hint="eastAsia" w:ascii="仿宋" w:hAnsi="仿宋" w:eastAsia="仿宋" w:cs="仿宋"/>
          <w:color w:val="3D3D3D"/>
          <w:kern w:val="0"/>
          <w:sz w:val="32"/>
          <w:szCs w:val="32"/>
        </w:rPr>
        <w:t>月</w:t>
      </w:r>
      <w:r>
        <w:rPr>
          <w:rFonts w:ascii="仿宋" w:hAnsi="仿宋" w:eastAsia="仿宋" w:cs="仿宋"/>
          <w:color w:val="3D3D3D"/>
          <w:kern w:val="0"/>
          <w:sz w:val="32"/>
          <w:szCs w:val="32"/>
        </w:rPr>
        <w:t>31</w:t>
      </w:r>
      <w:r>
        <w:rPr>
          <w:rFonts w:hint="eastAsia" w:ascii="仿宋" w:hAnsi="仿宋" w:eastAsia="仿宋" w:cs="仿宋"/>
          <w:color w:val="3D3D3D"/>
          <w:kern w:val="0"/>
          <w:sz w:val="32"/>
          <w:szCs w:val="32"/>
        </w:rPr>
        <w:t>日止。报告由总体情况；主动公开政府信息情况；收到和处理政府信息公开申请情况；政府信息公开行政复议、行政诉讼情况；存在的主要问题及改进情况；其他需要报告的事项等六部分组成。</w:t>
      </w:r>
    </w:p>
    <w:p>
      <w:pPr>
        <w:widowControl/>
        <w:shd w:val="clear" w:color="auto" w:fill="FFFFFF"/>
        <w:ind w:firstLine="640" w:firstLineChars="200"/>
        <w:rPr>
          <w:rFonts w:ascii="楷体_GB2312" w:hAnsi="宋体" w:eastAsia="楷体_GB2312"/>
          <w:kern w:val="0"/>
          <w:sz w:val="32"/>
          <w:szCs w:val="32"/>
        </w:rPr>
      </w:pPr>
      <w:r>
        <w:rPr>
          <w:rFonts w:hint="eastAsia" w:ascii="黑体" w:hAnsi="宋体" w:eastAsia="黑体" w:cs="黑体"/>
          <w:kern w:val="0"/>
          <w:sz w:val="32"/>
          <w:szCs w:val="32"/>
        </w:rPr>
        <w:t>一、</w:t>
      </w:r>
      <w:r>
        <w:rPr>
          <w:rFonts w:hint="eastAsia" w:ascii="黑体" w:hAnsi="黑体" w:eastAsia="黑体" w:cs="黑体"/>
          <w:kern w:val="0"/>
          <w:sz w:val="32"/>
          <w:szCs w:val="32"/>
        </w:rPr>
        <w:t>总体情况</w:t>
      </w:r>
    </w:p>
    <w:p>
      <w:pPr>
        <w:rPr>
          <w:rFonts w:ascii="仿宋_GB2312" w:eastAsia="仿宋_GB2312"/>
          <w:sz w:val="32"/>
          <w:szCs w:val="32"/>
        </w:rPr>
      </w:pPr>
      <w:r>
        <w:rPr>
          <w:rFonts w:ascii="仿宋_GB2312" w:eastAsia="仿宋_GB2312" w:cs="仿宋_GB2312"/>
          <w:sz w:val="32"/>
          <w:szCs w:val="32"/>
        </w:rPr>
        <w:t xml:space="preserve">   2019</w:t>
      </w:r>
      <w:r>
        <w:rPr>
          <w:rFonts w:hint="eastAsia" w:ascii="仿宋_GB2312" w:eastAsia="仿宋_GB2312" w:cs="仿宋_GB2312"/>
          <w:sz w:val="32"/>
          <w:szCs w:val="32"/>
        </w:rPr>
        <w:t>年以来</w:t>
      </w:r>
      <w:r>
        <w:rPr>
          <w:rFonts w:ascii="仿宋_GB2312" w:eastAsia="仿宋_GB2312" w:cs="仿宋_GB2312"/>
          <w:sz w:val="32"/>
          <w:szCs w:val="32"/>
        </w:rPr>
        <w:t>,</w:t>
      </w:r>
      <w:r>
        <w:rPr>
          <w:rFonts w:hint="eastAsia" w:ascii="仿宋_GB2312" w:eastAsia="仿宋_GB2312" w:cs="仿宋_GB2312"/>
          <w:sz w:val="32"/>
          <w:szCs w:val="32"/>
        </w:rPr>
        <w:t>我局深入贯彻落实</w:t>
      </w:r>
      <w:r>
        <w:rPr>
          <w:rFonts w:hint="eastAsia" w:ascii="仿宋" w:hAnsi="仿宋" w:eastAsia="仿宋" w:cs="仿宋"/>
          <w:color w:val="3D3D3D"/>
          <w:kern w:val="0"/>
          <w:sz w:val="32"/>
          <w:szCs w:val="32"/>
        </w:rPr>
        <w:t>《中华人民共和国政府信息公开条例》</w:t>
      </w:r>
      <w:r>
        <w:rPr>
          <w:rFonts w:hint="eastAsia" w:ascii="仿宋_GB2312" w:eastAsia="仿宋_GB2312" w:cs="仿宋_GB2312"/>
          <w:sz w:val="32"/>
          <w:szCs w:val="32"/>
        </w:rPr>
        <w:t>，坚持“以公开为常态、不公开为例外”原则，不断加强组织领导，深化公开内容，完善制度机制，加强督促检查，强化培训指导。</w:t>
      </w:r>
      <w:r>
        <w:rPr>
          <w:rFonts w:ascii="仿宋_GB2312" w:eastAsia="仿宋_GB2312" w:cs="仿宋_GB2312"/>
          <w:sz w:val="32"/>
          <w:szCs w:val="32"/>
        </w:rPr>
        <w:t>2019</w:t>
      </w:r>
      <w:r>
        <w:rPr>
          <w:rFonts w:hint="eastAsia" w:ascii="仿宋_GB2312" w:eastAsia="仿宋_GB2312" w:cs="仿宋_GB2312"/>
          <w:sz w:val="32"/>
          <w:szCs w:val="32"/>
        </w:rPr>
        <w:t>年，共发布各类信息</w:t>
      </w:r>
      <w:r>
        <w:rPr>
          <w:rFonts w:ascii="仿宋_GB2312" w:eastAsia="仿宋_GB2312" w:cs="仿宋_GB2312"/>
          <w:sz w:val="32"/>
          <w:szCs w:val="32"/>
        </w:rPr>
        <w:t>85</w:t>
      </w:r>
      <w:r>
        <w:rPr>
          <w:rFonts w:hint="eastAsia" w:ascii="仿宋_GB2312" w:eastAsia="仿宋_GB2312" w:cs="仿宋_GB2312"/>
          <w:sz w:val="32"/>
          <w:szCs w:val="32"/>
        </w:rPr>
        <w:t>条。有力保障了公众的知情权。</w:t>
      </w:r>
    </w:p>
    <w:p>
      <w:pPr>
        <w:widowControl/>
        <w:shd w:val="clear" w:color="auto" w:fill="FFFFFF"/>
        <w:wordWrap w:val="0"/>
        <w:spacing w:line="600" w:lineRule="atLeast"/>
        <w:ind w:firstLine="641"/>
        <w:jc w:val="left"/>
        <w:rPr>
          <w:rFonts w:ascii="仿宋_GB2312" w:hAnsi="微软雅黑" w:eastAsia="仿宋_GB2312"/>
          <w:color w:val="3D3D3D"/>
          <w:kern w:val="0"/>
          <w:sz w:val="32"/>
          <w:szCs w:val="32"/>
        </w:rPr>
      </w:pPr>
      <w:r>
        <w:rPr>
          <w:rFonts w:hint="eastAsia" w:ascii="仿宋" w:hAnsi="仿宋" w:eastAsia="仿宋" w:cs="仿宋"/>
          <w:b/>
          <w:bCs/>
          <w:color w:val="3D3D3D"/>
          <w:kern w:val="0"/>
          <w:sz w:val="32"/>
          <w:szCs w:val="32"/>
        </w:rPr>
        <w:t>一是强化组织领导。</w:t>
      </w:r>
      <w:r>
        <w:rPr>
          <w:rFonts w:hint="eastAsia" w:ascii="仿宋" w:hAnsi="仿宋" w:eastAsia="仿宋" w:cs="仿宋"/>
          <w:color w:val="3D3D3D"/>
          <w:kern w:val="0"/>
          <w:sz w:val="32"/>
          <w:szCs w:val="32"/>
        </w:rPr>
        <w:t>我局高度重视政府信息公开工作，加强领导，健全组织，结合机构改革人员变化，做到人员明确、分工清晰，形成了“主要领导亲自抓、分管领导具体抓、办公室全面抓”的工作机制，为顺利开展政府信息公开工作提供了有力保障。</w:t>
      </w:r>
    </w:p>
    <w:p>
      <w:pPr>
        <w:ind w:firstLine="642" w:firstLineChars="200"/>
        <w:rPr>
          <w:rFonts w:ascii="仿宋_GB2312" w:eastAsia="仿宋_GB2312"/>
          <w:sz w:val="32"/>
          <w:szCs w:val="32"/>
        </w:rPr>
      </w:pPr>
      <w:r>
        <w:rPr>
          <w:rFonts w:hint="eastAsia" w:ascii="仿宋_GB2312" w:eastAsia="仿宋_GB2312" w:cs="仿宋_GB2312"/>
          <w:b/>
          <w:bCs/>
          <w:sz w:val="32"/>
          <w:szCs w:val="32"/>
        </w:rPr>
        <w:t>二是建章立制。</w:t>
      </w:r>
      <w:r>
        <w:rPr>
          <w:rFonts w:hint="eastAsia" w:ascii="仿宋_GB2312" w:eastAsia="仿宋_GB2312" w:cs="仿宋_GB2312"/>
          <w:sz w:val="32"/>
          <w:szCs w:val="32"/>
        </w:rPr>
        <w:t>修订完善了《西青区应急管理局关于推行行政执法“三项制度”工作实施方案》，制定了《执法人员证件使用管理制度》《行政处罚案件审理工作规则》等制度。</w:t>
      </w:r>
    </w:p>
    <w:p>
      <w:pPr>
        <w:ind w:firstLine="642" w:firstLineChars="200"/>
        <w:rPr>
          <w:rFonts w:ascii="仿宋_GB2312" w:eastAsia="仿宋_GB2312"/>
          <w:sz w:val="32"/>
          <w:szCs w:val="32"/>
        </w:rPr>
      </w:pPr>
      <w:r>
        <w:rPr>
          <w:rFonts w:hint="eastAsia" w:ascii="仿宋_GB2312" w:eastAsia="仿宋_GB2312" w:cs="仿宋_GB2312"/>
          <w:b/>
          <w:bCs/>
          <w:sz w:val="32"/>
          <w:szCs w:val="32"/>
        </w:rPr>
        <w:t>三是认真落实行政执法“三项制度”。</w:t>
      </w:r>
      <w:r>
        <w:rPr>
          <w:rFonts w:hint="eastAsia" w:ascii="仿宋_GB2312" w:eastAsia="仿宋_GB2312" w:cs="仿宋_GB2312"/>
          <w:sz w:val="32"/>
          <w:szCs w:val="32"/>
        </w:rPr>
        <w:t>落实行政执法公示制度。按照“谁执法谁公示”的原则，及时公示行政执法信息，全年公开行政处罚决定</w:t>
      </w:r>
      <w:r>
        <w:rPr>
          <w:rFonts w:ascii="仿宋_GB2312" w:eastAsia="仿宋_GB2312" w:cs="仿宋_GB2312"/>
          <w:sz w:val="32"/>
          <w:szCs w:val="32"/>
        </w:rPr>
        <w:t>81</w:t>
      </w:r>
      <w:r>
        <w:rPr>
          <w:rFonts w:hint="eastAsia" w:ascii="仿宋_GB2312" w:eastAsia="仿宋_GB2312" w:cs="仿宋_GB2312"/>
          <w:sz w:val="32"/>
          <w:szCs w:val="32"/>
        </w:rPr>
        <w:t>条、行政处罚目录</w:t>
      </w:r>
      <w:r>
        <w:rPr>
          <w:rFonts w:ascii="仿宋_GB2312" w:eastAsia="仿宋_GB2312" w:cs="仿宋_GB2312"/>
          <w:sz w:val="32"/>
          <w:szCs w:val="32"/>
        </w:rPr>
        <w:t>95</w:t>
      </w:r>
      <w:r>
        <w:rPr>
          <w:rFonts w:hint="eastAsia" w:ascii="仿宋_GB2312" w:eastAsia="仿宋_GB2312" w:cs="仿宋_GB2312"/>
          <w:sz w:val="32"/>
          <w:szCs w:val="32"/>
        </w:rPr>
        <w:t>条和</w:t>
      </w:r>
      <w:r>
        <w:rPr>
          <w:rFonts w:ascii="仿宋_GB2312" w:eastAsia="仿宋_GB2312" w:cs="仿宋_GB2312"/>
          <w:sz w:val="32"/>
          <w:szCs w:val="32"/>
        </w:rPr>
        <w:t>80</w:t>
      </w:r>
      <w:r>
        <w:rPr>
          <w:rFonts w:hint="eastAsia" w:ascii="仿宋_GB2312" w:eastAsia="仿宋_GB2312" w:cs="仿宋_GB2312"/>
          <w:sz w:val="32"/>
          <w:szCs w:val="32"/>
        </w:rPr>
        <w:t>家企业“双随机”抽查检查结果。对照机构改革职权重新梳理权责清单并公开共计</w:t>
      </w:r>
      <w:r>
        <w:rPr>
          <w:rFonts w:ascii="仿宋_GB2312" w:eastAsia="仿宋_GB2312" w:cs="仿宋_GB2312"/>
          <w:sz w:val="32"/>
          <w:szCs w:val="32"/>
        </w:rPr>
        <w:t>115</w:t>
      </w:r>
      <w:r>
        <w:rPr>
          <w:rFonts w:hint="eastAsia" w:ascii="仿宋_GB2312" w:eastAsia="仿宋_GB2312" w:cs="仿宋_GB2312"/>
          <w:sz w:val="32"/>
          <w:szCs w:val="32"/>
        </w:rPr>
        <w:t>项。落实执法全过程记录制度。针对易引发争议的现场检查、现场处理、抽样取证、证据保全、听证、行政强制措施、送达和执行等环节执法记录仪全过程音像记录并对音像资料进行规范编号、备注和归档保存。</w:t>
      </w:r>
    </w:p>
    <w:p>
      <w:pPr>
        <w:ind w:firstLine="642" w:firstLineChars="200"/>
        <w:rPr>
          <w:rFonts w:ascii="仿宋" w:hAnsi="仿宋" w:eastAsia="仿宋"/>
          <w:color w:val="000000"/>
          <w:sz w:val="32"/>
          <w:szCs w:val="32"/>
        </w:rPr>
      </w:pPr>
      <w:r>
        <w:rPr>
          <w:rFonts w:hint="eastAsia" w:ascii="仿宋" w:hAnsi="仿宋" w:eastAsia="仿宋" w:cs="仿宋"/>
          <w:b/>
          <w:bCs/>
          <w:color w:val="3D3D3D"/>
          <w:sz w:val="32"/>
          <w:szCs w:val="32"/>
        </w:rPr>
        <w:t>四是定期做好培训。</w:t>
      </w:r>
      <w:r>
        <w:rPr>
          <w:rFonts w:hint="eastAsia" w:ascii="仿宋" w:hAnsi="仿宋" w:eastAsia="仿宋" w:cs="仿宋"/>
          <w:color w:val="000000"/>
          <w:sz w:val="32"/>
          <w:szCs w:val="32"/>
        </w:rPr>
        <w:t>为了不断提升对政府信息公开工作重要性的认识，强化自觉融入、自觉用力的参与意识，采取集自学和参加讲座等形式，认真学习新修订的《条例》和相关政策规定，着力提升相关知识技能。积极参加区政府</w:t>
      </w:r>
      <w:r>
        <w:rPr>
          <w:rFonts w:ascii="仿宋" w:hAnsi="仿宋" w:eastAsia="仿宋" w:cs="仿宋"/>
          <w:color w:val="000000"/>
          <w:sz w:val="32"/>
          <w:szCs w:val="32"/>
        </w:rPr>
        <w:t>5</w:t>
      </w:r>
      <w:r>
        <w:rPr>
          <w:rFonts w:hint="eastAsia" w:ascii="仿宋" w:hAnsi="仿宋" w:eastAsia="仿宋" w:cs="仿宋"/>
          <w:color w:val="000000"/>
          <w:sz w:val="32"/>
          <w:szCs w:val="32"/>
        </w:rPr>
        <w:t>月份组织的政府信息公开相关工作培训，为做好工作开展打好坚实基础。</w:t>
      </w:r>
    </w:p>
    <w:p>
      <w:pPr>
        <w:ind w:firstLine="642" w:firstLineChars="200"/>
        <w:rPr>
          <w:rFonts w:ascii="仿宋_GB2312" w:eastAsia="仿宋_GB2312"/>
          <w:color w:val="000000"/>
          <w:sz w:val="32"/>
          <w:szCs w:val="32"/>
        </w:rPr>
      </w:pPr>
      <w:r>
        <w:rPr>
          <w:rFonts w:hint="eastAsia" w:ascii="仿宋" w:hAnsi="仿宋" w:eastAsia="仿宋" w:cs="仿宋"/>
          <w:b/>
          <w:bCs/>
          <w:color w:val="000000"/>
          <w:sz w:val="32"/>
          <w:szCs w:val="32"/>
        </w:rPr>
        <w:t>五是提高政府信息公开透明度。</w:t>
      </w:r>
      <w:r>
        <w:rPr>
          <w:rFonts w:hint="eastAsia" w:ascii="仿宋" w:hAnsi="仿宋" w:eastAsia="仿宋" w:cs="仿宋"/>
          <w:color w:val="000000"/>
          <w:sz w:val="32"/>
          <w:szCs w:val="32"/>
        </w:rPr>
        <w:t>充分利用门户网站等平台开展相关工作。通过“权责清单”、“财政公开”等专栏发布信息，提高工作透明度，及时在西青区门户网站发布、更新相关文件信息，认真审核、校对，力争做到无漏洞、零错误。</w:t>
      </w:r>
    </w:p>
    <w:p>
      <w:pPr>
        <w:ind w:firstLine="640" w:firstLineChars="200"/>
        <w:rPr>
          <w:rFonts w:ascii="黑体" w:hAnsi="黑体" w:eastAsia="黑体"/>
          <w:kern w:val="0"/>
          <w:sz w:val="32"/>
          <w:szCs w:val="32"/>
        </w:rPr>
      </w:pPr>
    </w:p>
    <w:p>
      <w:pPr>
        <w:ind w:firstLine="640" w:firstLineChars="200"/>
        <w:rPr>
          <w:rFonts w:ascii="黑体" w:hAnsi="黑体" w:eastAsia="黑体"/>
          <w:kern w:val="0"/>
          <w:sz w:val="32"/>
          <w:szCs w:val="32"/>
        </w:rPr>
      </w:pPr>
    </w:p>
    <w:p>
      <w:pPr>
        <w:ind w:firstLine="640" w:firstLineChars="200"/>
        <w:rPr>
          <w:rFonts w:ascii="黑体" w:hAnsi="黑体" w:eastAsia="黑体"/>
          <w:kern w:val="0"/>
          <w:sz w:val="32"/>
          <w:szCs w:val="32"/>
        </w:rPr>
      </w:pPr>
      <w:r>
        <w:rPr>
          <w:rFonts w:hint="eastAsia" w:ascii="黑体" w:hAnsi="黑体" w:eastAsia="黑体" w:cs="黑体"/>
          <w:kern w:val="0"/>
          <w:sz w:val="32"/>
          <w:szCs w:val="32"/>
        </w:rPr>
        <w:t>二、主动公开政府信息情况</w:t>
      </w:r>
    </w:p>
    <w:tbl>
      <w:tblPr>
        <w:tblStyle w:val="7"/>
        <w:tblW w:w="8140" w:type="dxa"/>
        <w:jc w:val="center"/>
        <w:tblInd w:w="0" w:type="dxa"/>
        <w:tblLayout w:type="fixed"/>
        <w:tblCellMar>
          <w:top w:w="0" w:type="dxa"/>
          <w:left w:w="0" w:type="dxa"/>
          <w:bottom w:w="0" w:type="dxa"/>
          <w:right w:w="0" w:type="dxa"/>
        </w:tblCellMar>
      </w:tblPr>
      <w:tblGrid>
        <w:gridCol w:w="3113"/>
        <w:gridCol w:w="1638"/>
        <w:gridCol w:w="1508"/>
        <w:gridCol w:w="1881"/>
      </w:tblGrid>
      <w:tr>
        <w:tblPrEx>
          <w:tblLayout w:type="fixed"/>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信息内容</w:t>
            </w:r>
          </w:p>
        </w:tc>
        <w:tc>
          <w:tcPr>
            <w:tcW w:w="16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本年新</w:t>
            </w:r>
            <w:r>
              <w:rPr>
                <w:rFonts w:ascii="宋体"/>
                <w:color w:val="000000"/>
                <w:kern w:val="0"/>
                <w:sz w:val="20"/>
                <w:szCs w:val="20"/>
              </w:rPr>
              <w:br w:type="textWrapping"/>
            </w:r>
            <w:r>
              <w:rPr>
                <w:rFonts w:hint="eastAsia" w:ascii="宋体" w:hAnsi="宋体" w:cs="宋体"/>
                <w:kern w:val="0"/>
                <w:sz w:val="20"/>
                <w:szCs w:val="20"/>
              </w:rPr>
              <w:t>制作数量</w:t>
            </w:r>
          </w:p>
        </w:tc>
        <w:tc>
          <w:tcPr>
            <w:tcW w:w="15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本年新</w:t>
            </w:r>
            <w:r>
              <w:rPr>
                <w:rFonts w:ascii="宋体"/>
                <w:color w:val="000000"/>
                <w:kern w:val="0"/>
                <w:sz w:val="20"/>
                <w:szCs w:val="20"/>
              </w:rPr>
              <w:br w:type="textWrapping"/>
            </w:r>
            <w:r>
              <w:rPr>
                <w:rFonts w:hint="eastAsia" w:ascii="宋体" w:hAnsi="宋体" w:cs="宋体"/>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对外公开总数量</w:t>
            </w:r>
          </w:p>
        </w:tc>
      </w:tr>
      <w:tr>
        <w:tblPrEx>
          <w:tblLayout w:type="fixed"/>
          <w:tblCellMar>
            <w:top w:w="0" w:type="dxa"/>
            <w:left w:w="0" w:type="dxa"/>
            <w:bottom w:w="0" w:type="dxa"/>
            <w:right w:w="0" w:type="dxa"/>
          </w:tblCellMar>
        </w:tblPrEx>
        <w:trPr>
          <w:trHeight w:val="41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规章</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0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规范性文件</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信息内容</w:t>
            </w:r>
          </w:p>
        </w:tc>
        <w:tc>
          <w:tcPr>
            <w:tcW w:w="16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上一年项目数量</w:t>
            </w:r>
          </w:p>
        </w:tc>
        <w:tc>
          <w:tcPr>
            <w:tcW w:w="15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行政许可</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其他对外管理服务事项</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信息内容</w:t>
            </w:r>
          </w:p>
        </w:tc>
        <w:tc>
          <w:tcPr>
            <w:tcW w:w="16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上一年项目数量</w:t>
            </w:r>
          </w:p>
        </w:tc>
        <w:tc>
          <w:tcPr>
            <w:tcW w:w="150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处理决定数量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行政处罚</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48</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14</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59</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行政强制</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50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r>
      <w:tr>
        <w:tblPrEx>
          <w:tblLayout w:type="fixed"/>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信息内容</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上一年项目数量</w:t>
            </w:r>
          </w:p>
        </w:tc>
        <w:tc>
          <w:tcPr>
            <w:tcW w:w="3389"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行政事业性收费</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color w:val="000000"/>
                <w:kern w:val="0"/>
                <w:sz w:val="20"/>
                <w:szCs w:val="20"/>
              </w:rPr>
              <w:t>0</w:t>
            </w:r>
          </w:p>
        </w:tc>
        <w:tc>
          <w:tcPr>
            <w:tcW w:w="3389"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cs="宋体"/>
                <w:color w:val="000000"/>
                <w:kern w:val="0"/>
                <w:sz w:val="20"/>
                <w:szCs w:val="20"/>
              </w:rPr>
              <w:t>0</w:t>
            </w:r>
          </w:p>
        </w:tc>
      </w:tr>
      <w:tr>
        <w:tblPrEx>
          <w:tblLayout w:type="fixed"/>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第二十条第（九）项</w:t>
            </w:r>
          </w:p>
        </w:tc>
      </w:tr>
      <w:tr>
        <w:tblPrEx>
          <w:tblLayout w:type="fixed"/>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信息内容</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采购项目数量</w:t>
            </w:r>
          </w:p>
        </w:tc>
        <w:tc>
          <w:tcPr>
            <w:tcW w:w="3389"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采购总金额</w:t>
            </w:r>
          </w:p>
        </w:tc>
      </w:tr>
      <w:tr>
        <w:tblPrEx>
          <w:tblLayout w:type="fixed"/>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color w:val="000000"/>
                <w:kern w:val="0"/>
                <w:sz w:val="20"/>
                <w:szCs w:val="20"/>
              </w:rPr>
              <w:t>政府集中采购</w:t>
            </w:r>
          </w:p>
        </w:tc>
        <w:tc>
          <w:tcPr>
            <w:tcW w:w="163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color w:val="000000"/>
                <w:kern w:val="0"/>
                <w:sz w:val="20"/>
                <w:szCs w:val="20"/>
              </w:rPr>
              <w:t>17</w:t>
            </w:r>
          </w:p>
        </w:tc>
        <w:tc>
          <w:tcPr>
            <w:tcW w:w="3389"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cs="宋体"/>
                <w:kern w:val="0"/>
                <w:sz w:val="24"/>
                <w:szCs w:val="24"/>
              </w:rPr>
              <w:t>23649926.5</w:t>
            </w:r>
          </w:p>
        </w:tc>
      </w:tr>
    </w:tbl>
    <w:p>
      <w:pPr>
        <w:widowControl/>
        <w:shd w:val="clear" w:color="auto" w:fill="FFFFFF"/>
        <w:spacing w:after="240"/>
        <w:ind w:firstLine="480"/>
        <w:rPr>
          <w:rFonts w:ascii="黑体" w:hAnsi="宋体" w:eastAsia="黑体"/>
          <w:kern w:val="0"/>
          <w:sz w:val="32"/>
          <w:szCs w:val="32"/>
        </w:rPr>
      </w:pPr>
    </w:p>
    <w:p>
      <w:pPr>
        <w:widowControl/>
        <w:shd w:val="clear" w:color="auto" w:fill="FFFFFF"/>
        <w:spacing w:after="240"/>
        <w:ind w:firstLine="480"/>
        <w:rPr>
          <w:rFonts w:ascii="黑体" w:hAnsi="宋体" w:eastAsia="黑体"/>
          <w:kern w:val="0"/>
          <w:sz w:val="32"/>
          <w:szCs w:val="32"/>
        </w:rPr>
      </w:pPr>
    </w:p>
    <w:p>
      <w:pPr>
        <w:widowControl/>
        <w:shd w:val="clear" w:color="auto" w:fill="FFFFFF"/>
        <w:spacing w:after="240"/>
        <w:ind w:firstLine="480"/>
        <w:rPr>
          <w:rFonts w:ascii="黑体" w:hAnsi="宋体" w:eastAsia="黑体"/>
          <w:kern w:val="0"/>
          <w:sz w:val="32"/>
          <w:szCs w:val="32"/>
        </w:rPr>
      </w:pPr>
    </w:p>
    <w:p>
      <w:pPr>
        <w:widowControl/>
        <w:shd w:val="clear" w:color="auto" w:fill="FFFFFF"/>
        <w:spacing w:after="240"/>
        <w:ind w:firstLine="480"/>
        <w:rPr>
          <w:rFonts w:ascii="黑体" w:hAnsi="宋体" w:eastAsia="黑体"/>
          <w:kern w:val="0"/>
          <w:sz w:val="32"/>
          <w:szCs w:val="32"/>
        </w:rPr>
      </w:pPr>
      <w:r>
        <w:rPr>
          <w:rFonts w:hint="eastAsia" w:ascii="黑体" w:hAnsi="宋体" w:eastAsia="黑体" w:cs="黑体"/>
          <w:kern w:val="0"/>
          <w:sz w:val="32"/>
          <w:szCs w:val="32"/>
        </w:rPr>
        <w:t>三、收到和处理政府信息公开申请情况</w:t>
      </w:r>
    </w:p>
    <w:tbl>
      <w:tblPr>
        <w:tblStyle w:val="7"/>
        <w:tblW w:w="9071" w:type="dxa"/>
        <w:jc w:val="center"/>
        <w:tblInd w:w="0" w:type="dxa"/>
        <w:tblLayout w:type="fixed"/>
        <w:tblCellMar>
          <w:top w:w="0" w:type="dxa"/>
          <w:left w:w="0" w:type="dxa"/>
          <w:bottom w:w="0" w:type="dxa"/>
          <w:right w:w="0" w:type="dxa"/>
        </w:tblCellMar>
      </w:tblPr>
      <w:tblGrid>
        <w:gridCol w:w="617"/>
        <w:gridCol w:w="854"/>
        <w:gridCol w:w="2086"/>
        <w:gridCol w:w="813"/>
        <w:gridCol w:w="755"/>
        <w:gridCol w:w="755"/>
        <w:gridCol w:w="813"/>
        <w:gridCol w:w="973"/>
        <w:gridCol w:w="711"/>
        <w:gridCol w:w="694"/>
      </w:tblGrid>
      <w:tr>
        <w:tblPrEx>
          <w:tblLayout w:type="fixed"/>
          <w:tblCellMar>
            <w:top w:w="0" w:type="dxa"/>
            <w:left w:w="0" w:type="dxa"/>
            <w:bottom w:w="0" w:type="dxa"/>
            <w:right w:w="0" w:type="dxa"/>
          </w:tblCellMar>
        </w:tblPrEx>
        <w:trPr>
          <w:jc w:val="center"/>
        </w:trPr>
        <w:tc>
          <w:tcPr>
            <w:tcW w:w="355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（本列数据的勾稽关系为：第一项加第二项之和，等于第三项加第四项之和）</w:t>
            </w:r>
          </w:p>
        </w:tc>
        <w:tc>
          <w:tcPr>
            <w:tcW w:w="551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申请人情况</w:t>
            </w:r>
          </w:p>
        </w:tc>
      </w:tr>
      <w:tr>
        <w:tblPrEx>
          <w:tblLayout w:type="fixed"/>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1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总计</w:t>
            </w:r>
          </w:p>
        </w:tc>
      </w:tr>
      <w:tr>
        <w:tblPrEx>
          <w:tblLayout w:type="fixed"/>
          <w:tblCellMar>
            <w:top w:w="0" w:type="dxa"/>
            <w:left w:w="0" w:type="dxa"/>
            <w:bottom w:w="0" w:type="dxa"/>
            <w:right w:w="0" w:type="dxa"/>
          </w:tblCellMar>
        </w:tblPrEx>
        <w:trPr>
          <w:jc w:val="center"/>
        </w:trPr>
        <w:tc>
          <w:tcPr>
            <w:tcW w:w="355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13" w:type="dxa"/>
            <w:vMerge w:val="continue"/>
            <w:tcBorders>
              <w:top w:val="nil"/>
              <w:left w:val="nil"/>
              <w:bottom w:val="single" w:color="auto" w:sz="8" w:space="0"/>
              <w:right w:val="single" w:color="auto" w:sz="8" w:space="0"/>
            </w:tcBorders>
            <w:vAlign w:val="center"/>
          </w:tcPr>
          <w:p>
            <w:pPr>
              <w:widowControl/>
              <w:jc w:val="left"/>
              <w:rPr>
                <w:rFonts w:ascii="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kern w:val="0"/>
                <w:sz w:val="24"/>
                <w:szCs w:val="24"/>
              </w:rPr>
            </w:pPr>
          </w:p>
        </w:tc>
      </w:tr>
      <w:tr>
        <w:tblPrEx>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kern w:val="0"/>
                <w:sz w:val="20"/>
                <w:szCs w:val="20"/>
              </w:rPr>
              <w:t>一、本年新收政府信息公开申请数量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kern w:val="0"/>
                <w:sz w:val="24"/>
                <w:szCs w:val="24"/>
              </w:rPr>
              <w:t>4</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kern w:val="0"/>
                <w:sz w:val="24"/>
                <w:szCs w:val="24"/>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Calibri" w:hAnsi="Calibri" w:cs="Calibri"/>
                <w:kern w:val="0"/>
                <w:sz w:val="20"/>
                <w:szCs w:val="20"/>
              </w:rPr>
              <w:t>5</w:t>
            </w:r>
          </w:p>
        </w:tc>
      </w:tr>
      <w:tr>
        <w:tblPrEx>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kern w:val="0"/>
                <w:sz w:val="20"/>
                <w:szCs w:val="20"/>
              </w:rPr>
              <w:t>二、上年结转政府信息公开申请数量</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三、本年度办理结果</w:t>
            </w: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hint="eastAsia" w:ascii="楷体_GB2312" w:hAnsi="楷体" w:eastAsia="楷体_GB2312" w:cs="楷体_GB2312"/>
                <w:kern w:val="0"/>
                <w:sz w:val="20"/>
                <w:szCs w:val="20"/>
              </w:rPr>
              <w:t>（一）予以公开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Calibri" w:hAnsi="Calibri" w:cs="Calibri"/>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kern w:val="0"/>
                <w:sz w:val="24"/>
                <w:szCs w:val="24"/>
                <w:lang w:val="en-US" w:eastAsia="zh-CN"/>
              </w:rPr>
            </w:pPr>
            <w:r>
              <w:rPr>
                <w:rFonts w:hint="eastAsia" w:ascii="宋体"/>
                <w:kern w:val="0"/>
                <w:sz w:val="24"/>
                <w:szCs w:val="24"/>
                <w:lang w:val="en-US" w:eastAsia="zh-CN"/>
              </w:rPr>
              <w:t>1</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hint="eastAsia" w:ascii="楷体_GB2312" w:hAnsi="楷体" w:eastAsia="楷体_GB2312" w:cs="楷体_GB2312"/>
                <w:kern w:val="0"/>
                <w:sz w:val="20"/>
                <w:szCs w:val="20"/>
              </w:rPr>
              <w:t>（二）部分公开（区分处理的，只计这一情形，不计其他情形）</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kern w:val="0"/>
                <w:sz w:val="24"/>
                <w:szCs w:val="24"/>
              </w:rPr>
            </w:pPr>
            <w:r>
              <w:rPr>
                <w:rFonts w:hint="eastAsia" w:ascii="楷体_GB2312" w:hAnsi="楷体" w:eastAsia="楷体_GB2312" w:cs="楷体_GB2312"/>
                <w:kern w:val="0"/>
                <w:sz w:val="20"/>
                <w:szCs w:val="20"/>
              </w:rPr>
              <w:t>（三）不予公开</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1.</w:t>
            </w:r>
            <w:r>
              <w:rPr>
                <w:rFonts w:hint="eastAsia" w:ascii="楷体_GB2312" w:hAnsi="楷体" w:eastAsia="楷体_GB2312" w:cs="楷体_GB2312"/>
                <w:kern w:val="0"/>
                <w:sz w:val="20"/>
                <w:szCs w:val="20"/>
              </w:rPr>
              <w:t>属于国家秘密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2.</w:t>
            </w:r>
            <w:r>
              <w:rPr>
                <w:rFonts w:hint="eastAsia" w:ascii="楷体_GB2312" w:hAnsi="楷体" w:eastAsia="楷体_GB2312" w:cs="楷体_GB2312"/>
                <w:kern w:val="0"/>
                <w:sz w:val="20"/>
                <w:szCs w:val="20"/>
              </w:rPr>
              <w:t>其他法律行政法规禁止公开</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3.</w:t>
            </w:r>
            <w:r>
              <w:rPr>
                <w:rFonts w:hint="eastAsia" w:ascii="楷体_GB2312" w:hAnsi="楷体" w:eastAsia="楷体_GB2312" w:cs="楷体_GB2312"/>
                <w:kern w:val="0"/>
                <w:sz w:val="20"/>
                <w:szCs w:val="20"/>
              </w:rPr>
              <w:t>危及“三安全一稳定”</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4.</w:t>
            </w:r>
            <w:r>
              <w:rPr>
                <w:rFonts w:hint="eastAsia" w:ascii="楷体_GB2312" w:hAnsi="楷体" w:eastAsia="楷体_GB2312" w:cs="楷体_GB2312"/>
                <w:kern w:val="0"/>
                <w:sz w:val="20"/>
                <w:szCs w:val="20"/>
              </w:rPr>
              <w:t>保护第三方合法权益</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5.</w:t>
            </w:r>
            <w:r>
              <w:rPr>
                <w:rFonts w:hint="eastAsia" w:ascii="楷体_GB2312" w:hAnsi="楷体" w:eastAsia="楷体_GB2312" w:cs="楷体_GB2312"/>
                <w:kern w:val="0"/>
                <w:sz w:val="20"/>
                <w:szCs w:val="20"/>
              </w:rPr>
              <w:t>属于三类内部事务信息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6.</w:t>
            </w:r>
            <w:r>
              <w:rPr>
                <w:rFonts w:hint="eastAsia" w:ascii="楷体_GB2312" w:hAnsi="楷体" w:eastAsia="楷体_GB2312" w:cs="楷体_GB2312"/>
                <w:kern w:val="0"/>
                <w:sz w:val="20"/>
                <w:szCs w:val="20"/>
              </w:rPr>
              <w:t>属于四类过程性信息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7.</w:t>
            </w:r>
            <w:r>
              <w:rPr>
                <w:rFonts w:hint="eastAsia" w:ascii="楷体_GB2312" w:hAnsi="楷体" w:eastAsia="楷体_GB2312" w:cs="楷体_GB2312"/>
                <w:kern w:val="0"/>
                <w:sz w:val="20"/>
                <w:szCs w:val="20"/>
              </w:rPr>
              <w:t>属于行政执法案卷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olor w:val="000000"/>
                <w:kern w:val="0"/>
                <w:sz w:val="24"/>
                <w:szCs w:val="24"/>
              </w:rPr>
            </w:pPr>
            <w:r>
              <w:rPr>
                <w:rFonts w:ascii="Calibri" w:hAnsi="Calibri" w:eastAsia="楷体_GB2312" w:cs="Calibri"/>
                <w:color w:val="000000"/>
                <w:kern w:val="0"/>
                <w:sz w:val="20"/>
                <w:szCs w:val="20"/>
              </w:rPr>
              <w:t>2</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olor w:val="000000"/>
                <w:kern w:val="0"/>
                <w:sz w:val="24"/>
                <w:szCs w:val="24"/>
              </w:rPr>
            </w:pPr>
            <w:r>
              <w:rPr>
                <w:rFonts w:ascii="Calibri" w:hAnsi="Calibri" w:eastAsia="楷体_GB2312" w:cs="Calibri"/>
                <w:color w:val="000000"/>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kern w:val="0"/>
                <w:sz w:val="24"/>
                <w:szCs w:val="24"/>
                <w:lang w:val="en-US" w:eastAsia="zh-CN"/>
              </w:rPr>
            </w:pPr>
            <w:r>
              <w:rPr>
                <w:rFonts w:hint="eastAsia" w:ascii="宋体"/>
                <w:kern w:val="0"/>
                <w:sz w:val="24"/>
                <w:szCs w:val="24"/>
                <w:lang w:val="en-US" w:eastAsia="zh-CN"/>
              </w:rPr>
              <w:t>3</w:t>
            </w: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8.</w:t>
            </w:r>
            <w:r>
              <w:rPr>
                <w:rFonts w:hint="eastAsia" w:ascii="楷体_GB2312" w:hAnsi="楷体" w:eastAsia="楷体_GB2312" w:cs="楷体_GB2312"/>
                <w:kern w:val="0"/>
                <w:sz w:val="20"/>
                <w:szCs w:val="20"/>
              </w:rPr>
              <w:t>属于行政查询事项</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kern w:val="0"/>
                <w:sz w:val="24"/>
                <w:szCs w:val="24"/>
              </w:rPr>
            </w:pPr>
            <w:r>
              <w:rPr>
                <w:rFonts w:hint="eastAsia" w:ascii="楷体_GB2312" w:hAnsi="楷体" w:eastAsia="楷体_GB2312" w:cs="楷体_GB2312"/>
                <w:kern w:val="0"/>
                <w:sz w:val="20"/>
                <w:szCs w:val="20"/>
              </w:rPr>
              <w:t>（四）无法提供</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1.</w:t>
            </w:r>
            <w:r>
              <w:rPr>
                <w:rFonts w:hint="eastAsia" w:ascii="楷体_GB2312" w:hAnsi="楷体" w:eastAsia="楷体_GB2312" w:cs="楷体_GB2312"/>
                <w:kern w:val="0"/>
                <w:sz w:val="20"/>
                <w:szCs w:val="20"/>
              </w:rPr>
              <w:t>本机关不掌握相关政府信息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r>
              <w:rPr>
                <w:rFonts w:ascii="Calibri" w:hAnsi="Calibri" w:eastAsia="楷体_GB2312" w:cs="Calibri"/>
                <w:kern w:val="0"/>
                <w:sz w:val="20"/>
                <w:szCs w:val="20"/>
              </w:rPr>
              <w:t>1</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eastAsia="宋体"/>
                <w:kern w:val="0"/>
                <w:sz w:val="24"/>
                <w:szCs w:val="24"/>
                <w:lang w:val="en-US" w:eastAsia="zh-CN"/>
              </w:rPr>
            </w:pPr>
            <w:r>
              <w:rPr>
                <w:rFonts w:hint="eastAsia" w:ascii="宋体"/>
                <w:kern w:val="0"/>
                <w:sz w:val="24"/>
                <w:szCs w:val="24"/>
                <w:lang w:val="en-US" w:eastAsia="zh-CN"/>
              </w:rPr>
              <w:t>1</w:t>
            </w:r>
            <w:bookmarkStart w:id="0" w:name="_GoBack"/>
            <w:bookmarkEnd w:id="0"/>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2.</w:t>
            </w:r>
            <w:r>
              <w:rPr>
                <w:rFonts w:hint="eastAsia" w:ascii="楷体_GB2312" w:hAnsi="楷体" w:eastAsia="楷体_GB2312" w:cs="楷体_GB2312"/>
                <w:kern w:val="0"/>
                <w:sz w:val="20"/>
                <w:szCs w:val="20"/>
              </w:rPr>
              <w:t>没有现成信息需要另行制作</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3.</w:t>
            </w:r>
            <w:r>
              <w:rPr>
                <w:rFonts w:hint="eastAsia" w:ascii="楷体_GB2312" w:hAnsi="楷体" w:eastAsia="楷体_GB2312" w:cs="楷体_GB2312"/>
                <w:kern w:val="0"/>
                <w:sz w:val="20"/>
                <w:szCs w:val="20"/>
              </w:rPr>
              <w:t>补正后申请内容仍不明确</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kern w:val="0"/>
                <w:sz w:val="24"/>
                <w:szCs w:val="24"/>
              </w:rPr>
            </w:pPr>
            <w:r>
              <w:rPr>
                <w:rFonts w:hint="eastAsia" w:ascii="楷体_GB2312" w:hAnsi="楷体" w:eastAsia="楷体_GB2312" w:cs="楷体_GB2312"/>
                <w:kern w:val="0"/>
                <w:sz w:val="20"/>
                <w:szCs w:val="20"/>
              </w:rPr>
              <w:t>（五）不予处理</w:t>
            </w: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1.</w:t>
            </w:r>
            <w:r>
              <w:rPr>
                <w:rFonts w:hint="eastAsia" w:ascii="楷体_GB2312" w:hAnsi="楷体" w:eastAsia="楷体_GB2312" w:cs="楷体_GB2312"/>
                <w:kern w:val="0"/>
                <w:sz w:val="20"/>
                <w:szCs w:val="20"/>
              </w:rPr>
              <w:t>信访举报投诉类申请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2.</w:t>
            </w:r>
            <w:r>
              <w:rPr>
                <w:rFonts w:hint="eastAsia" w:ascii="楷体_GB2312" w:hAnsi="楷体" w:eastAsia="楷体_GB2312" w:cs="楷体_GB2312"/>
                <w:kern w:val="0"/>
                <w:sz w:val="20"/>
                <w:szCs w:val="20"/>
              </w:rPr>
              <w:t>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3.</w:t>
            </w:r>
            <w:r>
              <w:rPr>
                <w:rFonts w:hint="eastAsia" w:ascii="楷体_GB2312" w:hAnsi="楷体" w:eastAsia="楷体_GB2312" w:cs="楷体_GB2312"/>
                <w:kern w:val="0"/>
                <w:sz w:val="20"/>
                <w:szCs w:val="20"/>
              </w:rPr>
              <w:t>要求提供公开出版物</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4.</w:t>
            </w:r>
            <w:r>
              <w:rPr>
                <w:rFonts w:hint="eastAsia" w:ascii="楷体_GB2312" w:hAnsi="楷体" w:eastAsia="楷体_GB2312" w:cs="楷体_GB2312"/>
                <w:kern w:val="0"/>
                <w:sz w:val="20"/>
                <w:szCs w:val="20"/>
              </w:rPr>
              <w:t>无正当理由大量反复申请</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楷体_GB2312" w:hAnsi="宋体" w:eastAsia="楷体_GB2312"/>
                <w:kern w:val="0"/>
                <w:sz w:val="24"/>
                <w:szCs w:val="24"/>
              </w:rPr>
            </w:pPr>
          </w:p>
        </w:tc>
        <w:tc>
          <w:tcPr>
            <w:tcW w:w="208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500" w:lineRule="exact"/>
              <w:jc w:val="left"/>
              <w:rPr>
                <w:rFonts w:ascii="楷体_GB2312" w:hAnsi="宋体" w:eastAsia="楷体_GB2312"/>
                <w:kern w:val="0"/>
                <w:sz w:val="24"/>
                <w:szCs w:val="24"/>
              </w:rPr>
            </w:pPr>
            <w:r>
              <w:rPr>
                <w:rFonts w:ascii="楷体_GB2312" w:hAnsi="楷体" w:eastAsia="楷体_GB2312" w:cs="楷体_GB2312"/>
                <w:kern w:val="0"/>
                <w:sz w:val="20"/>
                <w:szCs w:val="20"/>
              </w:rPr>
              <w:t>5.</w:t>
            </w:r>
            <w:r>
              <w:rPr>
                <w:rFonts w:hint="eastAsia" w:ascii="楷体_GB2312" w:hAnsi="楷体" w:eastAsia="楷体_GB2312" w:cs="楷体_GB2312"/>
                <w:kern w:val="0"/>
                <w:sz w:val="20"/>
                <w:szCs w:val="20"/>
              </w:rPr>
              <w:t>要求行政机关确认或重新出具已获取信息</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kern w:val="0"/>
                <w:sz w:val="24"/>
                <w:szCs w:val="24"/>
              </w:rPr>
            </w:pPr>
            <w:r>
              <w:rPr>
                <w:rFonts w:hint="eastAsia" w:ascii="楷体_GB2312" w:hAnsi="楷体" w:eastAsia="楷体_GB2312" w:cs="楷体_GB2312"/>
                <w:kern w:val="0"/>
                <w:sz w:val="20"/>
                <w:szCs w:val="20"/>
              </w:rPr>
              <w:t>（六）其他处理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r>
      <w:tr>
        <w:tblPrEx>
          <w:tblLayout w:type="fixed"/>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294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楷体_GB2312" w:hAnsi="宋体" w:eastAsia="楷体_GB2312"/>
                <w:kern w:val="0"/>
                <w:sz w:val="24"/>
                <w:szCs w:val="24"/>
              </w:rPr>
            </w:pPr>
            <w:r>
              <w:rPr>
                <w:rFonts w:hint="eastAsia" w:ascii="楷体_GB2312" w:hAnsi="楷体" w:eastAsia="楷体_GB2312" w:cs="楷体_GB2312"/>
                <w:kern w:val="0"/>
                <w:sz w:val="20"/>
                <w:szCs w:val="20"/>
              </w:rPr>
              <w:t>（七）总计</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r>
              <w:rPr>
                <w:rFonts w:ascii="Calibri" w:hAnsi="Calibri" w:eastAsia="楷体_GB2312" w:cs="Calibri"/>
                <w:kern w:val="0"/>
                <w:sz w:val="20"/>
                <w:szCs w:val="20"/>
              </w:rPr>
              <w:t>5</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Calibri" w:hAnsi="Calibri" w:cs="Calibri"/>
                <w:kern w:val="0"/>
                <w:sz w:val="20"/>
                <w:szCs w:val="20"/>
              </w:rPr>
              <w:t>5</w:t>
            </w:r>
          </w:p>
        </w:tc>
      </w:tr>
      <w:tr>
        <w:tblPrEx>
          <w:tblLayout w:type="fixed"/>
          <w:tblCellMar>
            <w:top w:w="0" w:type="dxa"/>
            <w:left w:w="0" w:type="dxa"/>
            <w:bottom w:w="0" w:type="dxa"/>
            <w:right w:w="0" w:type="dxa"/>
          </w:tblCellMar>
        </w:tblPrEx>
        <w:trPr>
          <w:jc w:val="center"/>
        </w:trPr>
        <w:tc>
          <w:tcPr>
            <w:tcW w:w="355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kern w:val="0"/>
                <w:sz w:val="24"/>
                <w:szCs w:val="24"/>
              </w:rPr>
            </w:pPr>
            <w:r>
              <w:rPr>
                <w:rFonts w:hint="eastAsia" w:ascii="宋体" w:hAnsi="宋体" w:cs="宋体"/>
                <w:kern w:val="0"/>
                <w:sz w:val="20"/>
                <w:szCs w:val="20"/>
              </w:rPr>
              <w:t>四、结转下年度继续办理</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Calibri" w:hAnsi="Calibri" w:cs="Calibri"/>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ascii="宋体" w:cs="宋体"/>
                <w:kern w:val="0"/>
                <w:sz w:val="24"/>
                <w:szCs w:val="24"/>
              </w:rPr>
              <w:t>0</w:t>
            </w:r>
          </w:p>
        </w:tc>
      </w:tr>
    </w:tbl>
    <w:p>
      <w:pPr>
        <w:widowControl/>
        <w:shd w:val="clear" w:color="auto" w:fill="FFFFFF"/>
        <w:ind w:firstLine="480"/>
        <w:rPr>
          <w:rFonts w:ascii="宋体"/>
          <w:kern w:val="0"/>
          <w:sz w:val="24"/>
          <w:szCs w:val="24"/>
        </w:rPr>
      </w:pPr>
    </w:p>
    <w:p>
      <w:pPr>
        <w:widowControl/>
        <w:shd w:val="clear" w:color="auto" w:fill="FFFFFF"/>
        <w:ind w:firstLine="480"/>
        <w:rPr>
          <w:rFonts w:ascii="宋体"/>
          <w:kern w:val="0"/>
          <w:sz w:val="24"/>
          <w:szCs w:val="24"/>
        </w:rPr>
      </w:pPr>
    </w:p>
    <w:p>
      <w:pPr>
        <w:widowControl/>
        <w:shd w:val="clear" w:color="auto" w:fill="FFFFFF"/>
        <w:ind w:firstLine="480"/>
        <w:rPr>
          <w:rFonts w:ascii="宋体"/>
          <w:kern w:val="0"/>
          <w:sz w:val="24"/>
          <w:szCs w:val="24"/>
        </w:rPr>
      </w:pPr>
    </w:p>
    <w:p>
      <w:pPr>
        <w:widowControl/>
        <w:shd w:val="clear" w:color="auto" w:fill="FFFFFF"/>
        <w:ind w:firstLine="482"/>
        <w:rPr>
          <w:rFonts w:ascii="黑体" w:hAnsi="宋体" w:eastAsia="黑体"/>
          <w:kern w:val="0"/>
          <w:sz w:val="32"/>
          <w:szCs w:val="32"/>
        </w:rPr>
      </w:pPr>
      <w:r>
        <w:rPr>
          <w:rFonts w:hint="eastAsia" w:ascii="黑体" w:hAnsi="宋体" w:eastAsia="黑体" w:cs="黑体"/>
          <w:kern w:val="0"/>
          <w:sz w:val="32"/>
          <w:szCs w:val="32"/>
        </w:rPr>
        <w:t>四、政府信息公开行政复议、行政诉讼情况</w:t>
      </w:r>
    </w:p>
    <w:p>
      <w:pPr>
        <w:widowControl/>
        <w:shd w:val="clear" w:color="auto" w:fill="FFFFFF"/>
        <w:ind w:firstLine="480"/>
        <w:rPr>
          <w:rFonts w:ascii="宋体"/>
          <w:kern w:val="0"/>
          <w:sz w:val="24"/>
          <w:szCs w:val="24"/>
        </w:rPr>
      </w:pPr>
    </w:p>
    <w:tbl>
      <w:tblPr>
        <w:tblStyle w:val="7"/>
        <w:tblW w:w="9071" w:type="dxa"/>
        <w:jc w:val="center"/>
        <w:tblInd w:w="0" w:type="dxa"/>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行政诉讼</w:t>
            </w:r>
          </w:p>
        </w:tc>
      </w:tr>
      <w:tr>
        <w:tblPrEx>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复议后起诉</w:t>
            </w:r>
          </w:p>
        </w:tc>
      </w:tr>
      <w:tr>
        <w:tblPrEx>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hint="eastAsia" w:ascii="宋体" w:hAnsi="宋体" w:cs="宋体"/>
                <w:kern w:val="0"/>
                <w:sz w:val="20"/>
                <w:szCs w:val="20"/>
              </w:rPr>
              <w:t>总计</w:t>
            </w:r>
          </w:p>
        </w:tc>
      </w:tr>
      <w:tr>
        <w:tblPrEx>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Calibri" w:hAnsi="Calibri" w:cs="Calibri"/>
                <w:kern w:val="0"/>
                <w:sz w:val="20"/>
                <w:szCs w:val="20"/>
              </w:rPr>
              <w:t> </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Calibri" w:hAnsi="Calibri" w:cs="Calibri"/>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kern w:val="0"/>
                <w:sz w:val="24"/>
                <w:szCs w:val="24"/>
              </w:rPr>
            </w:pPr>
            <w:r>
              <w:rPr>
                <w:rFonts w:ascii="宋体" w:hAnsi="宋体" w:cs="宋体"/>
                <w:kern w:val="0"/>
                <w:sz w:val="24"/>
                <w:szCs w:val="24"/>
              </w:rPr>
              <w:t>0</w:t>
            </w:r>
          </w:p>
        </w:tc>
      </w:tr>
    </w:tbl>
    <w:p>
      <w:pPr>
        <w:widowControl/>
        <w:shd w:val="clear" w:color="auto" w:fill="FFFFFF"/>
        <w:wordWrap w:val="0"/>
        <w:spacing w:line="432" w:lineRule="auto"/>
        <w:ind w:firstLine="640" w:firstLineChars="200"/>
        <w:jc w:val="left"/>
        <w:rPr>
          <w:rFonts w:hint="eastAsia" w:ascii="黑体" w:hAnsi="黑体" w:eastAsia="黑体" w:cs="黑体"/>
          <w:color w:val="3D3D3D"/>
          <w:kern w:val="0"/>
          <w:sz w:val="32"/>
          <w:szCs w:val="32"/>
        </w:rPr>
      </w:pPr>
    </w:p>
    <w:p>
      <w:pPr>
        <w:widowControl/>
        <w:shd w:val="clear" w:color="auto" w:fill="FFFFFF"/>
        <w:wordWrap w:val="0"/>
        <w:spacing w:line="432" w:lineRule="auto"/>
        <w:ind w:firstLine="640" w:firstLineChars="200"/>
        <w:jc w:val="left"/>
        <w:rPr>
          <w:rFonts w:hint="eastAsia" w:ascii="黑体" w:hAnsi="黑体" w:eastAsia="黑体" w:cs="黑体"/>
          <w:color w:val="3D3D3D"/>
          <w:kern w:val="0"/>
          <w:sz w:val="32"/>
          <w:szCs w:val="32"/>
        </w:rPr>
      </w:pPr>
    </w:p>
    <w:p>
      <w:pPr>
        <w:widowControl/>
        <w:shd w:val="clear" w:color="auto" w:fill="FFFFFF"/>
        <w:wordWrap w:val="0"/>
        <w:spacing w:line="432" w:lineRule="auto"/>
        <w:ind w:firstLine="640" w:firstLineChars="200"/>
        <w:jc w:val="left"/>
        <w:rPr>
          <w:rFonts w:ascii="仿宋_GB2312" w:hAnsi="微软雅黑" w:eastAsia="仿宋_GB2312"/>
          <w:color w:val="3D3D3D"/>
          <w:kern w:val="0"/>
          <w:sz w:val="32"/>
          <w:szCs w:val="32"/>
        </w:rPr>
      </w:pPr>
      <w:r>
        <w:rPr>
          <w:rFonts w:hint="eastAsia" w:ascii="黑体" w:hAnsi="黑体" w:eastAsia="黑体" w:cs="黑体"/>
          <w:color w:val="3D3D3D"/>
          <w:kern w:val="0"/>
          <w:sz w:val="32"/>
          <w:szCs w:val="32"/>
        </w:rPr>
        <w:t>五、存在的主要问题及改进情况</w:t>
      </w:r>
    </w:p>
    <w:p>
      <w:pPr>
        <w:widowControl/>
        <w:shd w:val="clear" w:color="auto" w:fill="FFFFFF"/>
        <w:wordWrap w:val="0"/>
        <w:spacing w:line="600" w:lineRule="atLeast"/>
        <w:ind w:firstLine="641"/>
        <w:jc w:val="left"/>
        <w:rPr>
          <w:rFonts w:ascii="仿宋_GB2312" w:hAnsi="微软雅黑" w:eastAsia="仿宋_GB2312"/>
          <w:color w:val="3D3D3D"/>
          <w:kern w:val="0"/>
          <w:sz w:val="32"/>
          <w:szCs w:val="32"/>
        </w:rPr>
      </w:pPr>
      <w:r>
        <w:rPr>
          <w:rFonts w:ascii="仿宋" w:hAnsi="仿宋" w:eastAsia="仿宋" w:cs="仿宋"/>
          <w:color w:val="3D3D3D"/>
          <w:kern w:val="0"/>
          <w:sz w:val="32"/>
          <w:szCs w:val="32"/>
        </w:rPr>
        <w:t>2019</w:t>
      </w:r>
      <w:r>
        <w:rPr>
          <w:rFonts w:hint="eastAsia" w:ascii="仿宋" w:hAnsi="仿宋" w:eastAsia="仿宋" w:cs="仿宋"/>
          <w:color w:val="3D3D3D"/>
          <w:kern w:val="0"/>
          <w:sz w:val="32"/>
          <w:szCs w:val="32"/>
        </w:rPr>
        <w:t>年，我局在政府信息公开工作虽然取得了一些成绩，但对照区里要求还存在差距：一是做好政府信息公开工作的意识不强，重视程度不够；二是政府信息公开不及时，缺乏时效性、自觉性和主动性。</w:t>
      </w:r>
    </w:p>
    <w:p>
      <w:pPr>
        <w:widowControl/>
        <w:shd w:val="clear" w:color="auto" w:fill="FFFFFF"/>
        <w:wordWrap w:val="0"/>
        <w:spacing w:line="600" w:lineRule="atLeast"/>
        <w:ind w:firstLine="641"/>
        <w:jc w:val="left"/>
        <w:rPr>
          <w:rFonts w:ascii="仿宋_GB2312" w:hAnsi="微软雅黑" w:eastAsia="仿宋_GB2312"/>
          <w:color w:val="3D3D3D"/>
          <w:kern w:val="0"/>
          <w:sz w:val="32"/>
          <w:szCs w:val="32"/>
        </w:rPr>
      </w:pPr>
      <w:r>
        <w:rPr>
          <w:rFonts w:ascii="仿宋" w:hAnsi="仿宋" w:eastAsia="仿宋" w:cs="仿宋"/>
          <w:color w:val="3D3D3D"/>
          <w:kern w:val="0"/>
          <w:sz w:val="32"/>
          <w:szCs w:val="32"/>
        </w:rPr>
        <w:t>2020</w:t>
      </w:r>
      <w:r>
        <w:rPr>
          <w:rFonts w:hint="eastAsia" w:ascii="仿宋" w:hAnsi="仿宋" w:eastAsia="仿宋" w:cs="仿宋"/>
          <w:color w:val="3D3D3D"/>
          <w:kern w:val="0"/>
          <w:sz w:val="32"/>
          <w:szCs w:val="32"/>
        </w:rPr>
        <w:t>年将重点做好以下工作：一是深入贯彻落实《条例》精神，强化信息公开意识，深化公开内容，扩大公开范围，积极适应新形势下政府信息公开工作面临的新特点，紧紧围绕机构改革后应急管理工作面临的新形势、新任务，扎实推进我局政府信息公开工作，最大程度保障人民的知情权、参与权和表达权；二是严格按照要求，及时将信息公开至门户网站，做到应公开尽公开及时公开。</w:t>
      </w:r>
    </w:p>
    <w:p>
      <w:pPr>
        <w:widowControl/>
        <w:shd w:val="clear" w:color="auto" w:fill="FFFFFF"/>
        <w:wordWrap w:val="0"/>
        <w:spacing w:line="600" w:lineRule="atLeast"/>
        <w:jc w:val="left"/>
        <w:rPr>
          <w:rFonts w:ascii="仿宋" w:hAnsi="仿宋" w:eastAsia="仿宋"/>
          <w:color w:val="3D3D3D"/>
          <w:kern w:val="0"/>
          <w:sz w:val="32"/>
          <w:szCs w:val="32"/>
        </w:rPr>
      </w:pPr>
    </w:p>
    <w:p>
      <w:pPr>
        <w:widowControl/>
        <w:shd w:val="clear" w:color="auto" w:fill="FFFFFF"/>
        <w:wordWrap w:val="0"/>
        <w:spacing w:line="600" w:lineRule="atLeast"/>
        <w:ind w:firstLine="641"/>
        <w:jc w:val="left"/>
        <w:rPr>
          <w:rFonts w:ascii="仿宋" w:hAnsi="仿宋" w:eastAsia="仿宋"/>
          <w:color w:val="3D3D3D"/>
          <w:kern w:val="0"/>
          <w:sz w:val="32"/>
          <w:szCs w:val="32"/>
        </w:rPr>
      </w:pPr>
    </w:p>
    <w:p>
      <w:pPr>
        <w:widowControl/>
        <w:shd w:val="clear" w:color="auto" w:fill="FFFFFF"/>
        <w:wordWrap w:val="0"/>
        <w:spacing w:line="600" w:lineRule="atLeast"/>
        <w:ind w:firstLine="641"/>
        <w:jc w:val="left"/>
        <w:rPr>
          <w:rFonts w:ascii="仿宋" w:hAnsi="仿宋" w:eastAsia="仿宋"/>
          <w:color w:val="3D3D3D"/>
          <w:kern w:val="0"/>
          <w:sz w:val="32"/>
          <w:szCs w:val="32"/>
        </w:rPr>
      </w:pPr>
    </w:p>
    <w:p>
      <w:pPr>
        <w:widowControl/>
        <w:shd w:val="clear" w:color="auto" w:fill="FFFFFF"/>
        <w:wordWrap w:val="0"/>
        <w:spacing w:line="600" w:lineRule="atLeast"/>
        <w:ind w:firstLine="641"/>
        <w:jc w:val="left"/>
        <w:rPr>
          <w:rFonts w:ascii="仿宋_GB2312" w:hAnsi="微软雅黑" w:eastAsia="仿宋_GB2312"/>
          <w:color w:val="3D3D3D"/>
          <w:kern w:val="0"/>
          <w:sz w:val="32"/>
          <w:szCs w:val="32"/>
        </w:rPr>
      </w:pPr>
      <w:r>
        <w:rPr>
          <w:rFonts w:ascii="仿宋" w:hAnsi="仿宋" w:eastAsia="仿宋" w:cs="仿宋"/>
          <w:color w:val="3D3D3D"/>
          <w:kern w:val="0"/>
          <w:sz w:val="32"/>
          <w:szCs w:val="32"/>
        </w:rPr>
        <w:t xml:space="preserve">                 </w:t>
      </w:r>
    </w:p>
    <w:sectPr>
      <w:headerReference r:id="rId3" w:type="default"/>
      <w:footerReference r:id="rId4" w:type="default"/>
      <w:pgSz w:w="11906" w:h="16838"/>
      <w:pgMar w:top="209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cs="Times New Roman"/>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- 6 -</w:t>
    </w:r>
    <w:r>
      <w:rPr>
        <w:rStyle w:val="6"/>
        <w:rFonts w:ascii="宋体" w:hAnsi="宋体" w:cs="宋体"/>
        <w:sz w:val="28"/>
        <w:szCs w:val="28"/>
      </w:rPr>
      <w:fldChar w:fldCharType="end"/>
    </w:r>
  </w:p>
  <w:p>
    <w:pPr>
      <w:pStyle w:val="3"/>
      <w:ind w:right="360" w:firstLine="360"/>
      <w:rPr>
        <w:rFonts w:ascii="宋体"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82A"/>
    <w:rsid w:val="000520BC"/>
    <w:rsid w:val="000C7B86"/>
    <w:rsid w:val="001C1582"/>
    <w:rsid w:val="001F344F"/>
    <w:rsid w:val="002C37F3"/>
    <w:rsid w:val="002E093F"/>
    <w:rsid w:val="00350103"/>
    <w:rsid w:val="00361058"/>
    <w:rsid w:val="0039375E"/>
    <w:rsid w:val="003D182A"/>
    <w:rsid w:val="00444143"/>
    <w:rsid w:val="004459A8"/>
    <w:rsid w:val="004A30EB"/>
    <w:rsid w:val="004F60F0"/>
    <w:rsid w:val="00543990"/>
    <w:rsid w:val="0058287A"/>
    <w:rsid w:val="006504CE"/>
    <w:rsid w:val="006534D3"/>
    <w:rsid w:val="006865A8"/>
    <w:rsid w:val="00686FC4"/>
    <w:rsid w:val="007077DC"/>
    <w:rsid w:val="00714A68"/>
    <w:rsid w:val="0071799E"/>
    <w:rsid w:val="00721AB0"/>
    <w:rsid w:val="007B24D1"/>
    <w:rsid w:val="00814A10"/>
    <w:rsid w:val="00866F02"/>
    <w:rsid w:val="008D6FF1"/>
    <w:rsid w:val="009002A0"/>
    <w:rsid w:val="0091583D"/>
    <w:rsid w:val="009375DD"/>
    <w:rsid w:val="00943A27"/>
    <w:rsid w:val="009E60C0"/>
    <w:rsid w:val="00A30825"/>
    <w:rsid w:val="00A422C7"/>
    <w:rsid w:val="00B51DF1"/>
    <w:rsid w:val="00BB4A21"/>
    <w:rsid w:val="00C62383"/>
    <w:rsid w:val="00C8060A"/>
    <w:rsid w:val="00CA69B9"/>
    <w:rsid w:val="00D66454"/>
    <w:rsid w:val="00DB17B1"/>
    <w:rsid w:val="00DB6FB5"/>
    <w:rsid w:val="00DD04E3"/>
    <w:rsid w:val="00E47649"/>
    <w:rsid w:val="00E548AC"/>
    <w:rsid w:val="00E939CB"/>
    <w:rsid w:val="00F602C6"/>
    <w:rsid w:val="00FC3094"/>
    <w:rsid w:val="00FC6AEF"/>
    <w:rsid w:val="00FD6902"/>
    <w:rsid w:val="FD7F1B0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rFonts w:ascii="Calibri" w:hAnsi="Calibri" w:cs="Calibri"/>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style>
  <w:style w:type="character" w:customStyle="1" w:styleId="8">
    <w:name w:val="页脚 Char"/>
    <w:basedOn w:val="5"/>
    <w:link w:val="3"/>
    <w:qFormat/>
    <w:locked/>
    <w:uiPriority w:val="99"/>
    <w:rPr>
      <w:sz w:val="18"/>
      <w:szCs w:val="18"/>
    </w:rPr>
  </w:style>
  <w:style w:type="character" w:customStyle="1" w:styleId="9">
    <w:name w:val="Footer Char1"/>
    <w:basedOn w:val="5"/>
    <w:link w:val="3"/>
    <w:semiHidden/>
    <w:qFormat/>
    <w:uiPriority w:val="99"/>
    <w:rPr>
      <w:rFonts w:ascii="Times New Roman" w:hAnsi="Times New Roman"/>
      <w:sz w:val="18"/>
      <w:szCs w:val="18"/>
    </w:rPr>
  </w:style>
  <w:style w:type="character" w:customStyle="1" w:styleId="10">
    <w:name w:val="页脚 Char1"/>
    <w:basedOn w:val="5"/>
    <w:semiHidden/>
    <w:qFormat/>
    <w:uiPriority w:val="99"/>
    <w:rPr>
      <w:rFonts w:ascii="Times New Roman" w:hAnsi="Times New Roman" w:eastAsia="宋体" w:cs="Times New Roman"/>
      <w:sz w:val="18"/>
      <w:szCs w:val="18"/>
    </w:rPr>
  </w:style>
  <w:style w:type="character" w:customStyle="1" w:styleId="11">
    <w:name w:val="页眉 Char"/>
    <w:basedOn w:val="5"/>
    <w:link w:val="4"/>
    <w:qFormat/>
    <w:locked/>
    <w:uiPriority w:val="99"/>
    <w:rPr>
      <w:rFonts w:ascii="Times New Roman" w:hAnsi="Times New Roman" w:eastAsia="宋体" w:cs="Times New Roman"/>
      <w:sz w:val="18"/>
      <w:szCs w:val="18"/>
    </w:rPr>
  </w:style>
  <w:style w:type="character" w:customStyle="1" w:styleId="12">
    <w:name w:val="批注框文本 Char"/>
    <w:basedOn w:val="5"/>
    <w:link w:val="2"/>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357</Words>
  <Characters>2037</Characters>
  <Lines>16</Lines>
  <Paragraphs>4</Paragraphs>
  <TotalTime>111</TotalTime>
  <ScaleCrop>false</ScaleCrop>
  <LinksUpToDate>false</LinksUpToDate>
  <CharactersWithSpaces>2390</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2020-02-20T14:23:00Z</dcterms:created>
  <dc:creator>xqaj1</dc:creator>
  <cp:lastModifiedBy>kylin</cp:lastModifiedBy>
  <cp:lastPrinted>2020-02-20T17:46:00Z</cp:lastPrinted>
  <dcterms:modified xsi:type="dcterms:W3CDTF">2020-02-21T13:40:10Z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