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600" w:lineRule="exact"/>
        <w:ind w:left="420" w:leftChars="200"/>
        <w:jc w:val="center"/>
        <w:rPr>
          <w:rFonts w:eastAsia="方正小标宋简体"/>
          <w:sz w:val="44"/>
          <w:szCs w:val="44"/>
        </w:rPr>
      </w:pPr>
      <w:r>
        <w:rPr>
          <w:rFonts w:eastAsia="方正小标宋简体"/>
          <w:sz w:val="44"/>
          <w:szCs w:val="44"/>
        </w:rPr>
        <w:t>西青区</w:t>
      </w:r>
      <w:r>
        <w:rPr>
          <w:rFonts w:hint="eastAsia" w:eastAsia="方正小标宋简体"/>
          <w:sz w:val="44"/>
          <w:szCs w:val="44"/>
        </w:rPr>
        <w:t>公路建设养护中心</w:t>
      </w:r>
      <w:r>
        <w:rPr>
          <w:rFonts w:eastAsia="方正小标宋简体"/>
          <w:sz w:val="44"/>
          <w:szCs w:val="44"/>
        </w:rPr>
        <w:t>201</w:t>
      </w:r>
      <w:r>
        <w:rPr>
          <w:rFonts w:hint="eastAsia" w:eastAsia="方正小标宋简体"/>
          <w:sz w:val="44"/>
          <w:szCs w:val="44"/>
        </w:rPr>
        <w:t>9</w:t>
      </w:r>
      <w:r>
        <w:rPr>
          <w:rFonts w:eastAsia="方正小标宋简体"/>
          <w:sz w:val="44"/>
          <w:szCs w:val="44"/>
        </w:rPr>
        <w:t>年</w:t>
      </w:r>
    </w:p>
    <w:p>
      <w:pPr>
        <w:widowControl/>
        <w:adjustRightInd w:val="0"/>
        <w:spacing w:line="600" w:lineRule="exact"/>
        <w:ind w:left="420" w:leftChars="200"/>
        <w:jc w:val="center"/>
        <w:rPr>
          <w:rFonts w:eastAsia="方正小标宋简体"/>
          <w:sz w:val="44"/>
          <w:szCs w:val="44"/>
        </w:rPr>
      </w:pPr>
      <w:r>
        <w:rPr>
          <w:rFonts w:eastAsia="方正小标宋简体"/>
          <w:sz w:val="44"/>
          <w:szCs w:val="44"/>
        </w:rPr>
        <w:t>政府信息公开</w:t>
      </w:r>
      <w:r>
        <w:rPr>
          <w:rFonts w:hint="eastAsia" w:eastAsia="方正小标宋简体"/>
          <w:sz w:val="44"/>
          <w:szCs w:val="44"/>
        </w:rPr>
        <w:t>工作</w:t>
      </w:r>
      <w:r>
        <w:rPr>
          <w:rFonts w:eastAsia="方正小标宋简体"/>
          <w:sz w:val="44"/>
          <w:szCs w:val="44"/>
        </w:rPr>
        <w:t>年度报告</w:t>
      </w:r>
    </w:p>
    <w:p>
      <w:pPr>
        <w:spacing w:line="560" w:lineRule="exact"/>
        <w:rPr>
          <w:rFonts w:ascii="仿宋_GB2312" w:eastAsia="仿宋_GB2312"/>
          <w:sz w:val="32"/>
          <w:szCs w:val="32"/>
        </w:rPr>
      </w:pPr>
    </w:p>
    <w:p>
      <w:pPr>
        <w:adjustRightInd w:val="0"/>
        <w:spacing w:line="560" w:lineRule="exact"/>
        <w:ind w:firstLine="640" w:firstLineChars="200"/>
        <w:rPr>
          <w:rFonts w:eastAsia="仿宋_GB2312"/>
          <w:sz w:val="32"/>
          <w:szCs w:val="32"/>
        </w:rPr>
      </w:pPr>
      <w:r>
        <w:rPr>
          <w:rFonts w:eastAsia="仿宋_GB2312"/>
          <w:sz w:val="32"/>
          <w:szCs w:val="32"/>
        </w:rPr>
        <w:t>本年度报告根据《中华人民共和国政府信息公开条例》（国务院令第</w:t>
      </w:r>
      <w:r>
        <w:rPr>
          <w:rFonts w:hint="eastAsia" w:eastAsia="仿宋_GB2312"/>
          <w:sz w:val="32"/>
          <w:szCs w:val="32"/>
        </w:rPr>
        <w:t>711</w:t>
      </w:r>
      <w:r>
        <w:rPr>
          <w:rFonts w:eastAsia="仿宋_GB2312"/>
          <w:sz w:val="32"/>
          <w:szCs w:val="32"/>
        </w:rPr>
        <w:t>号，以下简称《条例》）编制。本年度报告由</w:t>
      </w:r>
      <w:r>
        <w:rPr>
          <w:rFonts w:hint="eastAsia" w:eastAsia="仿宋_GB2312"/>
          <w:sz w:val="32"/>
          <w:szCs w:val="32"/>
        </w:rPr>
        <w:t>总体情况、</w:t>
      </w:r>
      <w:r>
        <w:rPr>
          <w:rFonts w:eastAsia="仿宋_GB2312"/>
          <w:sz w:val="32"/>
          <w:szCs w:val="32"/>
        </w:rPr>
        <w:t>主动公开政府信息情况</w:t>
      </w:r>
      <w:r>
        <w:rPr>
          <w:rFonts w:hint="eastAsia" w:eastAsia="仿宋_GB2312"/>
          <w:sz w:val="32"/>
          <w:szCs w:val="32"/>
        </w:rPr>
        <w:t>、收到和处理政府信息</w:t>
      </w:r>
      <w:r>
        <w:rPr>
          <w:rFonts w:eastAsia="仿宋_GB2312"/>
          <w:sz w:val="32"/>
          <w:szCs w:val="32"/>
        </w:rPr>
        <w:t>公开</w:t>
      </w:r>
      <w:r>
        <w:rPr>
          <w:rFonts w:hint="eastAsia" w:eastAsia="仿宋_GB2312"/>
          <w:sz w:val="32"/>
          <w:szCs w:val="32"/>
        </w:rPr>
        <w:t>申请</w:t>
      </w:r>
      <w:r>
        <w:rPr>
          <w:rFonts w:eastAsia="仿宋_GB2312"/>
          <w:sz w:val="32"/>
          <w:szCs w:val="32"/>
        </w:rPr>
        <w:t>情况</w:t>
      </w:r>
      <w:r>
        <w:rPr>
          <w:rFonts w:hint="eastAsia" w:eastAsia="仿宋_GB2312"/>
          <w:sz w:val="32"/>
          <w:szCs w:val="32"/>
        </w:rPr>
        <w:t>、因政府信息公开工作被申请行政复议和提起行政诉讼情况、政府信息公开工作存在的主要问题及改进情况、</w:t>
      </w:r>
      <w:r>
        <w:rPr>
          <w:rFonts w:eastAsia="仿宋_GB2312"/>
          <w:sz w:val="32"/>
          <w:szCs w:val="32"/>
        </w:rPr>
        <w:t>其他需要报告的事项</w:t>
      </w:r>
      <w:r>
        <w:rPr>
          <w:rFonts w:hint="eastAsia" w:eastAsia="仿宋_GB2312"/>
          <w:sz w:val="32"/>
          <w:szCs w:val="32"/>
        </w:rPr>
        <w:t>六</w:t>
      </w:r>
      <w:r>
        <w:rPr>
          <w:rFonts w:eastAsia="仿宋_GB2312"/>
          <w:sz w:val="32"/>
          <w:szCs w:val="32"/>
        </w:rPr>
        <w:t>部分组成。本年度报告中所列数据的统计期限自201</w:t>
      </w:r>
      <w:r>
        <w:rPr>
          <w:rFonts w:hint="eastAsia" w:eastAsia="仿宋_GB2312"/>
          <w:sz w:val="32"/>
          <w:szCs w:val="32"/>
        </w:rPr>
        <w:t>9</w:t>
      </w:r>
      <w:r>
        <w:rPr>
          <w:rFonts w:eastAsia="仿宋_GB2312"/>
          <w:sz w:val="32"/>
          <w:szCs w:val="32"/>
        </w:rPr>
        <w:t>年1月1日起至201</w:t>
      </w:r>
      <w:r>
        <w:rPr>
          <w:rFonts w:hint="eastAsia" w:eastAsia="仿宋_GB2312"/>
          <w:sz w:val="32"/>
          <w:szCs w:val="32"/>
        </w:rPr>
        <w:t>9</w:t>
      </w:r>
      <w:r>
        <w:rPr>
          <w:rFonts w:eastAsia="仿宋_GB2312"/>
          <w:sz w:val="32"/>
          <w:szCs w:val="32"/>
        </w:rPr>
        <w:t>年12月31日止。</w:t>
      </w:r>
    </w:p>
    <w:p>
      <w:pPr>
        <w:adjustRightInd w:val="0"/>
        <w:spacing w:line="560" w:lineRule="exact"/>
        <w:ind w:firstLine="640" w:firstLineChars="200"/>
        <w:rPr>
          <w:rFonts w:eastAsia="仿宋_GB2312"/>
          <w:sz w:val="32"/>
          <w:szCs w:val="32"/>
        </w:rPr>
      </w:pPr>
      <w:r>
        <w:rPr>
          <w:rFonts w:ascii="黑体" w:hAnsi="黑体" w:eastAsia="黑体"/>
          <w:sz w:val="32"/>
          <w:szCs w:val="32"/>
        </w:rPr>
        <w:t>一、</w:t>
      </w:r>
      <w:r>
        <w:rPr>
          <w:rFonts w:hint="eastAsia" w:ascii="黑体" w:hAnsi="黑体" w:eastAsia="黑体"/>
          <w:sz w:val="32"/>
          <w:szCs w:val="32"/>
        </w:rPr>
        <w:t>总体情况</w:t>
      </w:r>
    </w:p>
    <w:p>
      <w:pPr>
        <w:spacing w:line="560" w:lineRule="exact"/>
        <w:ind w:firstLine="640" w:firstLineChars="200"/>
        <w:rPr>
          <w:rFonts w:ascii="仿宋_GB2312" w:hAnsi="仿宋_GB2312" w:eastAsia="仿宋_GB2312" w:cs="仿宋_GB2312"/>
          <w:sz w:val="32"/>
          <w:szCs w:val="32"/>
        </w:rPr>
      </w:pPr>
      <w:r>
        <w:rPr>
          <w:rFonts w:eastAsia="仿宋_GB2312"/>
          <w:sz w:val="32"/>
          <w:szCs w:val="32"/>
        </w:rPr>
        <w:t>2019年</w:t>
      </w:r>
      <w:r>
        <w:rPr>
          <w:rFonts w:hint="eastAsia" w:eastAsia="仿宋_GB2312"/>
          <w:sz w:val="32"/>
          <w:szCs w:val="32"/>
        </w:rPr>
        <w:t>，</w:t>
      </w:r>
      <w:r>
        <w:rPr>
          <w:rFonts w:eastAsia="仿宋_GB2312"/>
          <w:kern w:val="0"/>
          <w:sz w:val="32"/>
          <w:szCs w:val="32"/>
        </w:rPr>
        <w:t>我中心始终坚持以习近平新时代中国特色社会主义思想为指引，</w:t>
      </w:r>
      <w:r>
        <w:rPr>
          <w:rFonts w:hint="eastAsia" w:eastAsia="仿宋_GB2312"/>
          <w:kern w:val="0"/>
          <w:sz w:val="32"/>
          <w:szCs w:val="32"/>
        </w:rPr>
        <w:t>按照区委、区政府的部署，</w:t>
      </w:r>
      <w:r>
        <w:rPr>
          <w:rFonts w:eastAsia="仿宋_GB2312"/>
          <w:kern w:val="0"/>
          <w:sz w:val="32"/>
          <w:szCs w:val="32"/>
        </w:rPr>
        <w:t>紧盯目标，狠抓落实，围绕中心，</w:t>
      </w:r>
      <w:r>
        <w:rPr>
          <w:rFonts w:hint="eastAsia" w:ascii="仿宋_GB2312" w:hAnsi="仿宋_GB2312" w:eastAsia="仿宋_GB2312" w:cs="仿宋_GB2312"/>
          <w:sz w:val="32"/>
          <w:szCs w:val="32"/>
        </w:rPr>
        <w:t>以充分发挥公路管理部门职能作用为核心，</w:t>
      </w:r>
      <w:r>
        <w:rPr>
          <w:rFonts w:eastAsia="仿宋_GB2312"/>
          <w:kern w:val="0"/>
          <w:sz w:val="32"/>
          <w:szCs w:val="32"/>
        </w:rPr>
        <w:t>尽职担当，</w:t>
      </w:r>
      <w:r>
        <w:rPr>
          <w:rFonts w:hint="eastAsia" w:eastAsia="仿宋_GB2312"/>
          <w:kern w:val="0"/>
          <w:sz w:val="32"/>
          <w:szCs w:val="32"/>
        </w:rPr>
        <w:t>结</w:t>
      </w:r>
      <w:r>
        <w:rPr>
          <w:rFonts w:hint="eastAsia" w:ascii="仿宋_GB2312" w:hAnsi="仿宋_GB2312" w:eastAsia="仿宋_GB2312" w:cs="仿宋_GB2312"/>
          <w:sz w:val="32"/>
          <w:szCs w:val="32"/>
        </w:rPr>
        <w:t>合自身特点，</w:t>
      </w:r>
      <w:r>
        <w:rPr>
          <w:rFonts w:eastAsia="仿宋_GB2312"/>
          <w:sz w:val="32"/>
          <w:szCs w:val="32"/>
        </w:rPr>
        <w:t>认真贯彻落实《条例》</w:t>
      </w:r>
      <w:r>
        <w:rPr>
          <w:rFonts w:hint="eastAsia" w:eastAsia="仿宋_GB2312"/>
          <w:sz w:val="32"/>
          <w:szCs w:val="32"/>
        </w:rPr>
        <w:t>和《2019年天津市政务公开工作要点》等文件要求，</w:t>
      </w:r>
      <w:r>
        <w:rPr>
          <w:rFonts w:hint="eastAsia" w:ascii="仿宋_GB2312" w:hAnsi="宋体" w:eastAsia="仿宋_GB2312"/>
          <w:sz w:val="32"/>
          <w:szCs w:val="32"/>
        </w:rPr>
        <w:t>不断完善政务信息公开工作，</w:t>
      </w:r>
      <w:r>
        <w:rPr>
          <w:rFonts w:hint="eastAsia" w:eastAsia="仿宋_GB2312"/>
          <w:sz w:val="32"/>
          <w:szCs w:val="32"/>
        </w:rPr>
        <w:t>进一步提高信息透明度，不断提升政府信息公开实效，结合社会关注度，</w:t>
      </w:r>
      <w:r>
        <w:rPr>
          <w:rFonts w:hint="eastAsia" w:ascii="仿宋_GB2312" w:hAnsi="宋体" w:eastAsia="仿宋_GB2312"/>
          <w:sz w:val="32"/>
          <w:szCs w:val="32"/>
        </w:rPr>
        <w:t>主动将可公开的文件和信息公布在政府信息公开平台，</w:t>
      </w:r>
      <w:r>
        <w:rPr>
          <w:rFonts w:hint="eastAsia" w:eastAsia="仿宋_GB2312"/>
          <w:sz w:val="32"/>
          <w:szCs w:val="32"/>
        </w:rPr>
        <w:t>切实增强人民群众满意度和获得感。</w:t>
      </w:r>
    </w:p>
    <w:p>
      <w:pPr>
        <w:spacing w:line="560" w:lineRule="exact"/>
        <w:ind w:firstLine="640" w:firstLineChars="200"/>
        <w:rPr>
          <w:rFonts w:eastAsia="仿宋_GB2312"/>
          <w:sz w:val="32"/>
          <w:szCs w:val="32"/>
        </w:rPr>
      </w:pPr>
      <w:r>
        <w:rPr>
          <w:rFonts w:hint="eastAsia" w:eastAsia="仿宋_GB2312"/>
          <w:sz w:val="32"/>
          <w:szCs w:val="32"/>
        </w:rPr>
        <w:t>（一）主动公开方面。2019年，区公路建设养护中心通过西青区政府门户网站主动公开行政规范性文件4件，准确发布区公路建设养护中心2019年部门预算。</w:t>
      </w:r>
    </w:p>
    <w:p>
      <w:pPr>
        <w:adjustRightInd w:val="0"/>
        <w:spacing w:line="560" w:lineRule="exact"/>
        <w:ind w:firstLine="640" w:firstLineChars="200"/>
        <w:rPr>
          <w:rFonts w:eastAsia="仿宋_GB2312"/>
          <w:sz w:val="32"/>
          <w:szCs w:val="32"/>
        </w:rPr>
      </w:pPr>
      <w:r>
        <w:rPr>
          <w:rFonts w:hint="eastAsia" w:eastAsia="仿宋_GB2312"/>
          <w:sz w:val="32"/>
          <w:szCs w:val="32"/>
        </w:rPr>
        <w:t>（二）依申请公开方面。严格执行新修订的《条例》，结合新要求，及时更新调整政府信息公开指南，明确公众获取主动公开和依申请公开信息的主要渠道和具体方式。全年共收到政府信息公开申请2件，答复政府信息公开申请2件，均在法定期限内答复。</w:t>
      </w:r>
    </w:p>
    <w:p>
      <w:pPr>
        <w:spacing w:line="560" w:lineRule="exact"/>
        <w:ind w:firstLine="640" w:firstLineChars="200"/>
        <w:rPr>
          <w:rFonts w:eastAsia="仿宋_GB2312"/>
          <w:sz w:val="32"/>
          <w:szCs w:val="32"/>
        </w:rPr>
      </w:pPr>
      <w:r>
        <w:rPr>
          <w:rFonts w:hint="eastAsia" w:ascii="仿宋_GB2312" w:eastAsia="仿宋_GB2312"/>
          <w:sz w:val="32"/>
          <w:szCs w:val="32"/>
        </w:rPr>
        <w:t>（三）政府信息管理方面。</w:t>
      </w:r>
      <w:r>
        <w:rPr>
          <w:rFonts w:hint="eastAsia" w:ascii="仿宋_GB2312" w:hAnsi="仿宋" w:eastAsia="仿宋_GB2312"/>
          <w:sz w:val="32"/>
          <w:szCs w:val="32"/>
          <w:shd w:val="clear" w:color="auto" w:fill="FFFFFF"/>
        </w:rPr>
        <w:t>围绕领导信息、组织机构、主要职责、交通阻断信息、大气污染、防汛抢险、行政处罚决定信息等，加强了信息发布的及时性和有效性。</w:t>
      </w:r>
      <w:r>
        <w:rPr>
          <w:rFonts w:hint="eastAsia" w:eastAsia="仿宋_GB2312"/>
          <w:sz w:val="32"/>
          <w:szCs w:val="32"/>
        </w:rPr>
        <w:t>坚持应公开尽公开原则，对拟不公开的，必须依法依规说明理由。</w:t>
      </w:r>
    </w:p>
    <w:p>
      <w:pPr>
        <w:adjustRightInd w:val="0"/>
        <w:spacing w:line="560" w:lineRule="exact"/>
        <w:ind w:firstLine="640" w:firstLineChars="200"/>
        <w:rPr>
          <w:rFonts w:eastAsia="仿宋_GB2312"/>
          <w:sz w:val="32"/>
          <w:szCs w:val="32"/>
        </w:rPr>
      </w:pPr>
      <w:r>
        <w:rPr>
          <w:rFonts w:hint="eastAsia" w:ascii="黑体" w:hAnsi="宋体" w:eastAsia="黑体" w:cs="宋体"/>
          <w:bCs/>
          <w:kern w:val="0"/>
          <w:sz w:val="32"/>
          <w:szCs w:val="32"/>
        </w:rPr>
        <w:t>二、主动公开政府信息情况</w:t>
      </w:r>
    </w:p>
    <w:tbl>
      <w:tblPr>
        <w:tblStyle w:val="3"/>
        <w:tblW w:w="8140" w:type="dxa"/>
        <w:jc w:val="center"/>
        <w:tblInd w:w="0" w:type="dxa"/>
        <w:tblLayout w:type="fixed"/>
        <w:tblCellMar>
          <w:top w:w="0" w:type="dxa"/>
          <w:left w:w="0" w:type="dxa"/>
          <w:bottom w:w="0" w:type="dxa"/>
          <w:right w:w="0" w:type="dxa"/>
        </w:tblCellMar>
      </w:tblPr>
      <w:tblGrid>
        <w:gridCol w:w="3113"/>
        <w:gridCol w:w="1875"/>
        <w:gridCol w:w="6"/>
        <w:gridCol w:w="1265"/>
        <w:gridCol w:w="1881"/>
      </w:tblGrid>
      <w:tr>
        <w:tblPrEx>
          <w:tblLayout w:type="fixed"/>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color w:val="000000"/>
                <w:kern w:val="0"/>
                <w:sz w:val="20"/>
                <w:szCs w:val="20"/>
              </w:rPr>
              <w:t>3</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Layout w:type="fixed"/>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Layout w:type="fixed"/>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+1</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1</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42</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1343422</w:t>
            </w:r>
          </w:p>
        </w:tc>
      </w:tr>
    </w:tbl>
    <w:p>
      <w:pPr>
        <w:widowControl/>
        <w:shd w:val="clear" w:color="auto" w:fill="FFFFFF"/>
        <w:ind w:firstLine="480"/>
        <w:rPr>
          <w:rFonts w:ascii="宋体" w:hAnsi="宋体" w:cs="宋体"/>
          <w:color w:val="333333"/>
          <w:kern w:val="0"/>
          <w:sz w:val="24"/>
        </w:rPr>
      </w:pPr>
    </w:p>
    <w:p>
      <w:pPr>
        <w:widowControl/>
        <w:shd w:val="clear" w:color="auto" w:fill="FFFFFF"/>
        <w:spacing w:after="240"/>
        <w:ind w:firstLine="480"/>
        <w:rPr>
          <w:rFonts w:ascii="黑体" w:hAnsi="宋体" w:eastAsia="黑体" w:cs="宋体"/>
          <w:bCs/>
          <w:kern w:val="0"/>
          <w:sz w:val="32"/>
          <w:szCs w:val="32"/>
        </w:rPr>
      </w:pP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三、收到和处理政府信息公开申请情况</w:t>
      </w:r>
    </w:p>
    <w:tbl>
      <w:tblPr>
        <w:tblStyle w:val="3"/>
        <w:tblW w:w="9071" w:type="dxa"/>
        <w:jc w:val="center"/>
        <w:tblInd w:w="0" w:type="dxa"/>
        <w:tblLayout w:type="fixed"/>
        <w:tblCellMar>
          <w:top w:w="0" w:type="dxa"/>
          <w:left w:w="0" w:type="dxa"/>
          <w:bottom w:w="0" w:type="dxa"/>
          <w:right w:w="0" w:type="dxa"/>
        </w:tblCellMar>
      </w:tblPr>
      <w:tblGrid>
        <w:gridCol w:w="616"/>
        <w:gridCol w:w="854"/>
        <w:gridCol w:w="2086"/>
        <w:gridCol w:w="814"/>
        <w:gridCol w:w="755"/>
        <w:gridCol w:w="755"/>
        <w:gridCol w:w="813"/>
        <w:gridCol w:w="973"/>
        <w:gridCol w:w="711"/>
        <w:gridCol w:w="694"/>
      </w:tblGrid>
      <w:tr>
        <w:tblPrEx>
          <w:tblLayout w:type="fixed"/>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1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1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Layout w:type="fixed"/>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（一）予以公开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（二）部分公开（区分处理的，只计这一情形，不计其他情形）</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1.属于国家秘密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2.其他法律行政法规禁止公开</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3.危及“三安全一稳定”</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4.保护第三方合法权益</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5.属于三类内部事务信息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6.属于四类过程性信息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7.属于行政执法案卷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8.属于行政查询事项</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1.本机关不掌握相关政府信息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Calibri" w:hAnsi="Calibri" w:eastAsia="楷体_GB2312"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Calibri" w:hAnsi="Calibri" w:eastAsia="楷体_GB2312"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2.没有现成信息需要另行制作</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3.补正后申请内容仍不明确</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1.信访举报投诉类申请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Calibri" w:hAnsi="Calibri" w:eastAsia="楷体_GB2312"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Calibri" w:hAnsi="Calibri" w:eastAsia="楷体_GB2312"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3.要求提供公开出版物</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4.无正当理由大量反复申请</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（六）其他处理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Calibri" w:hAnsi="Calibri" w:eastAsia="楷体_GB2312" w:cs="Calibri"/>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0</w:t>
            </w:r>
          </w:p>
        </w:tc>
      </w:tr>
      <w:tr>
        <w:tblPrEx>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（七）总计</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楷体_GB2312" w:hAnsi="宋体" w:eastAsia="楷体_GB2312" w:cs="宋体"/>
                <w:kern w:val="0"/>
                <w:szCs w:val="21"/>
                <w:lang w:eastAsia="zh-CN"/>
              </w:rPr>
            </w:pPr>
            <w:r>
              <w:rPr>
                <w:rFonts w:hint="eastAsia" w:ascii="楷体_GB2312" w:hAnsi="宋体" w:eastAsia="楷体_GB2312" w:cs="宋体"/>
                <w:kern w:val="0"/>
                <w:szCs w:val="21"/>
                <w:lang w:val="en-US" w:eastAsia="zh-CN"/>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Calibri" w:hAnsi="Calibri" w:cs="Calibri"/>
                <w:kern w:val="0"/>
                <w:szCs w:val="21"/>
              </w:rPr>
              <w:t>2</w:t>
            </w:r>
          </w:p>
        </w:tc>
      </w:tr>
      <w:tr>
        <w:tblPrEx>
          <w:tblLayout w:type="fixed"/>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0</w:t>
            </w:r>
          </w:p>
        </w:tc>
      </w:tr>
    </w:tbl>
    <w:p>
      <w:pPr>
        <w:widowControl/>
        <w:shd w:val="clear" w:color="auto" w:fill="FFFFFF"/>
        <w:ind w:firstLine="480"/>
        <w:rPr>
          <w:rFonts w:ascii="宋体" w:hAnsi="宋体" w:cs="宋体"/>
          <w:kern w:val="0"/>
          <w:sz w:val="24"/>
        </w:rPr>
      </w:pPr>
    </w:p>
    <w:p>
      <w:pPr>
        <w:widowControl/>
        <w:shd w:val="clear" w:color="auto" w:fill="FFFFFF"/>
        <w:ind w:firstLine="480"/>
        <w:rPr>
          <w:rFonts w:ascii="宋体" w:hAnsi="宋体" w:cs="宋体"/>
          <w:kern w:val="0"/>
          <w:sz w:val="24"/>
        </w:rPr>
      </w:pPr>
    </w:p>
    <w:p>
      <w:pPr>
        <w:widowControl/>
        <w:shd w:val="clear" w:color="auto" w:fill="FFFFFF"/>
        <w:ind w:firstLine="480"/>
        <w:rPr>
          <w:rFonts w:ascii="宋体" w:hAnsi="宋体" w:cs="宋体"/>
          <w:kern w:val="0"/>
          <w:sz w:val="24"/>
        </w:rPr>
      </w:pPr>
    </w:p>
    <w:p>
      <w:pPr>
        <w:widowControl/>
        <w:shd w:val="clear" w:color="auto" w:fill="FFFFFF"/>
        <w:ind w:firstLine="482"/>
        <w:rPr>
          <w:rFonts w:ascii="黑体" w:hAnsi="宋体" w:eastAsia="黑体" w:cs="宋体"/>
          <w:bCs/>
          <w:kern w:val="0"/>
          <w:sz w:val="32"/>
          <w:szCs w:val="32"/>
        </w:rPr>
      </w:pPr>
      <w:r>
        <w:rPr>
          <w:rFonts w:hint="eastAsia" w:ascii="黑体" w:hAnsi="宋体" w:eastAsia="黑体" w:cs="宋体"/>
          <w:bCs/>
          <w:kern w:val="0"/>
          <w:sz w:val="32"/>
          <w:szCs w:val="32"/>
        </w:rPr>
        <w:t>四、政府信息公开行政复议、行政诉讼情况</w:t>
      </w:r>
    </w:p>
    <w:p>
      <w:pPr>
        <w:widowControl/>
        <w:shd w:val="clear" w:color="auto" w:fill="FFFFFF"/>
        <w:ind w:firstLine="480"/>
        <w:rPr>
          <w:rFonts w:ascii="宋体" w:hAnsi="宋体" w:cs="宋体"/>
          <w:kern w:val="0"/>
          <w:sz w:val="24"/>
        </w:rPr>
      </w:pPr>
    </w:p>
    <w:tbl>
      <w:tblPr>
        <w:tblStyle w:val="3"/>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Calibri" w:hAnsi="Calibri" w:cs="Calibri"/>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0</w:t>
            </w:r>
          </w:p>
        </w:tc>
      </w:tr>
    </w:tbl>
    <w:p>
      <w:pPr>
        <w:shd w:val="clear" w:color="auto" w:fill="FFFFFF"/>
        <w:adjustRightInd w:val="0"/>
        <w:spacing w:line="56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五、存在的主要问题及改进情况</w:t>
      </w:r>
    </w:p>
    <w:p>
      <w:pPr>
        <w:adjustRightInd w:val="0"/>
        <w:spacing w:line="560" w:lineRule="exact"/>
        <w:ind w:firstLine="640" w:firstLineChars="200"/>
        <w:rPr>
          <w:rFonts w:eastAsia="仿宋_GB2312"/>
          <w:sz w:val="32"/>
          <w:szCs w:val="32"/>
        </w:rPr>
      </w:pPr>
      <w:r>
        <w:rPr>
          <w:rFonts w:hint="eastAsia" w:eastAsia="仿宋_GB2312"/>
          <w:sz w:val="32"/>
          <w:szCs w:val="32"/>
        </w:rPr>
        <w:t>（一）主要问题。政府</w:t>
      </w:r>
      <w:r>
        <w:rPr>
          <w:rFonts w:eastAsia="仿宋_GB2312"/>
          <w:sz w:val="32"/>
          <w:szCs w:val="32"/>
        </w:rPr>
        <w:t>信息</w:t>
      </w:r>
      <w:r>
        <w:rPr>
          <w:rFonts w:hint="eastAsia" w:eastAsia="仿宋_GB2312"/>
          <w:sz w:val="32"/>
          <w:szCs w:val="32"/>
        </w:rPr>
        <w:t>公开工作时效性和规范性需要进一步强化</w:t>
      </w:r>
      <w:r>
        <w:rPr>
          <w:rFonts w:eastAsia="仿宋_GB2312"/>
          <w:sz w:val="32"/>
          <w:szCs w:val="32"/>
        </w:rPr>
        <w:t>。</w:t>
      </w:r>
    </w:p>
    <w:p>
      <w:pPr>
        <w:adjustRightInd w:val="0"/>
        <w:spacing w:line="560" w:lineRule="exact"/>
        <w:ind w:firstLine="640" w:firstLineChars="200"/>
        <w:rPr>
          <w:rFonts w:eastAsia="仿宋_GB2312"/>
          <w:sz w:val="32"/>
          <w:szCs w:val="32"/>
        </w:rPr>
      </w:pPr>
      <w:r>
        <w:rPr>
          <w:rFonts w:hint="eastAsia" w:eastAsia="仿宋_GB2312"/>
          <w:sz w:val="32"/>
          <w:szCs w:val="32"/>
        </w:rPr>
        <w:t>（二）改进措施。把公开透明的要求贯穿于各个环节，抓好群众关注热点问题的公开，在规定的政府信息公开范围内，及时发布和更新依法应主动公开的政府信息，实现政府信息公开化，切实提高透明度，为公众提供更加便利的服务。</w:t>
      </w:r>
    </w:p>
    <w:p>
      <w:pPr>
        <w:adjustRightInd w:val="0"/>
        <w:spacing w:line="56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六、其他需要报告的事项</w:t>
      </w:r>
    </w:p>
    <w:p>
      <w:pPr>
        <w:adjustRightInd w:val="0"/>
        <w:spacing w:line="560" w:lineRule="exact"/>
        <w:ind w:firstLine="640" w:firstLineChars="200"/>
        <w:rPr>
          <w:rFonts w:eastAsia="仿宋_GB2312"/>
          <w:sz w:val="32"/>
          <w:szCs w:val="32"/>
        </w:rPr>
      </w:pPr>
      <w:r>
        <w:rPr>
          <w:rFonts w:eastAsia="仿宋_GB2312"/>
          <w:sz w:val="32"/>
          <w:szCs w:val="32"/>
        </w:rPr>
        <w:t>无其他需要报告的事项。</w:t>
      </w:r>
    </w:p>
    <w:p>
      <w:pPr>
        <w:adjustRightInd w:val="0"/>
        <w:spacing w:line="560" w:lineRule="exact"/>
        <w:ind w:left="420" w:leftChars="200"/>
        <w:rPr>
          <w:rFonts w:ascii="仿宋_GB2312" w:eastAsia="仿宋_GB2312"/>
          <w:b/>
          <w:sz w:val="32"/>
          <w:szCs w:val="32"/>
        </w:rPr>
      </w:pPr>
      <w:bookmarkStart w:id="0" w:name="_GoBack"/>
      <w:bookmarkEnd w:id="0"/>
    </w:p>
    <w:p>
      <w:pPr>
        <w:spacing w:line="560" w:lineRule="exact"/>
        <w:ind w:firstLine="640" w:firstLineChars="200"/>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487B37"/>
    <w:rsid w:val="0000796C"/>
    <w:rsid w:val="00047655"/>
    <w:rsid w:val="000E1949"/>
    <w:rsid w:val="001002D8"/>
    <w:rsid w:val="00140853"/>
    <w:rsid w:val="001831B3"/>
    <w:rsid w:val="00196113"/>
    <w:rsid w:val="002165CF"/>
    <w:rsid w:val="00227BA6"/>
    <w:rsid w:val="00262B84"/>
    <w:rsid w:val="00323B43"/>
    <w:rsid w:val="00331C69"/>
    <w:rsid w:val="00365D40"/>
    <w:rsid w:val="003A1758"/>
    <w:rsid w:val="003D37D8"/>
    <w:rsid w:val="004358AB"/>
    <w:rsid w:val="00441A06"/>
    <w:rsid w:val="00457FB2"/>
    <w:rsid w:val="00487B37"/>
    <w:rsid w:val="00491C19"/>
    <w:rsid w:val="00566DEC"/>
    <w:rsid w:val="00572E65"/>
    <w:rsid w:val="00593431"/>
    <w:rsid w:val="00640D25"/>
    <w:rsid w:val="00665668"/>
    <w:rsid w:val="006755E0"/>
    <w:rsid w:val="006939A9"/>
    <w:rsid w:val="006B07EF"/>
    <w:rsid w:val="006C3A6E"/>
    <w:rsid w:val="00765F03"/>
    <w:rsid w:val="00772EC5"/>
    <w:rsid w:val="007E2331"/>
    <w:rsid w:val="007E6E15"/>
    <w:rsid w:val="007F25E5"/>
    <w:rsid w:val="00834AAA"/>
    <w:rsid w:val="00883960"/>
    <w:rsid w:val="008B7726"/>
    <w:rsid w:val="008E7126"/>
    <w:rsid w:val="00915B85"/>
    <w:rsid w:val="009666C6"/>
    <w:rsid w:val="00977C9F"/>
    <w:rsid w:val="009950A8"/>
    <w:rsid w:val="00A02CFC"/>
    <w:rsid w:val="00AA2AC3"/>
    <w:rsid w:val="00AE45F9"/>
    <w:rsid w:val="00AE7384"/>
    <w:rsid w:val="00AF54BF"/>
    <w:rsid w:val="00AF5E25"/>
    <w:rsid w:val="00B12EEB"/>
    <w:rsid w:val="00B21AC3"/>
    <w:rsid w:val="00B71F08"/>
    <w:rsid w:val="00B9623C"/>
    <w:rsid w:val="00BB7243"/>
    <w:rsid w:val="00BC00D1"/>
    <w:rsid w:val="00BD3757"/>
    <w:rsid w:val="00BD5E65"/>
    <w:rsid w:val="00BF3F65"/>
    <w:rsid w:val="00C13312"/>
    <w:rsid w:val="00C31CF9"/>
    <w:rsid w:val="00C67C96"/>
    <w:rsid w:val="00D74B5E"/>
    <w:rsid w:val="00D7638D"/>
    <w:rsid w:val="00D777C7"/>
    <w:rsid w:val="00DA6CCB"/>
    <w:rsid w:val="00DE050D"/>
    <w:rsid w:val="00E22D8B"/>
    <w:rsid w:val="00E34C3B"/>
    <w:rsid w:val="00E94223"/>
    <w:rsid w:val="00E96F21"/>
    <w:rsid w:val="00F10A05"/>
    <w:rsid w:val="00F217D7"/>
    <w:rsid w:val="00F70F90"/>
    <w:rsid w:val="00F758CA"/>
    <w:rsid w:val="00FD352F"/>
    <w:rsid w:val="00FE1D5E"/>
    <w:rsid w:val="DEE7B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1931</Characters>
  <Lines>16</Lines>
  <Paragraphs>4</Paragraphs>
  <TotalTime>1</TotalTime>
  <ScaleCrop>false</ScaleCrop>
  <LinksUpToDate>false</LinksUpToDate>
  <CharactersWithSpaces>2265</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2020-02-20T10:46:00Z</dcterms:created>
  <dc:creator>Administrator</dc:creator>
  <cp:lastModifiedBy>kylin</cp:lastModifiedBy>
  <cp:lastPrinted>2020-02-20T14:16:00Z</cp:lastPrinted>
  <dcterms:modified xsi:type="dcterms:W3CDTF">2020-02-20T16:19:06Z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