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城市管理综合行政执法支队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马媛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27916901</w:t>
      </w:r>
      <w:r>
        <w:rPr>
          <w:rFonts w:hint="eastAsia" w:eastAsia="仿宋_GB2312"/>
          <w:sz w:val="32"/>
          <w:szCs w:val="32"/>
        </w:rPr>
        <w:t>）</w:t>
      </w:r>
    </w:p>
    <w:p/>
    <w:p/>
    <w:p/>
    <w:p>
      <w:bookmarkStart w:id="0" w:name="_GoBack"/>
      <w:bookmarkEnd w:id="0"/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天津市西青区城市管理综合行政执法支队</w:t>
      </w:r>
    </w:p>
    <w:p>
      <w:pPr>
        <w:spacing w:line="580" w:lineRule="exact"/>
        <w:rPr>
          <w:rFonts w:ascii="宋体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  <w:rsid w:val="028710B6"/>
    <w:rsid w:val="0431586E"/>
    <w:rsid w:val="05DF09A9"/>
    <w:rsid w:val="32720653"/>
    <w:rsid w:val="654A5CB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224</Characters>
  <Lines>1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2021-09-27T06:47:13Z</dcterms:modified>
  <dc:title>天津市西青区城市管理综合行政执法支队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