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04FF5">
      <w:pPr>
        <w:spacing w:line="600" w:lineRule="exact"/>
        <w:jc w:val="center"/>
        <w:rPr>
          <w:rFonts w:ascii="方正小标宋" w:hAnsi="Times New Roman" w:eastAsia="方正小标宋"/>
          <w:bCs/>
          <w:color w:val="000000"/>
          <w:spacing w:val="-10"/>
          <w:sz w:val="44"/>
          <w:szCs w:val="44"/>
        </w:rPr>
      </w:pPr>
      <w:bookmarkStart w:id="0" w:name="_GoBack"/>
      <w:bookmarkEnd w:id="0"/>
      <w:r>
        <w:rPr>
          <w:rFonts w:hint="eastAsia" w:ascii="方正小标宋" w:hAnsi="Times New Roman" w:eastAsia="方正小标宋"/>
          <w:bCs/>
          <w:color w:val="000000"/>
          <w:spacing w:val="-10"/>
          <w:sz w:val="44"/>
          <w:szCs w:val="44"/>
        </w:rPr>
        <w:t>天津市西青区人民政府</w:t>
      </w:r>
      <w:r>
        <w:rPr>
          <w:rFonts w:ascii="方正小标宋" w:hAnsi="Times New Roman" w:eastAsia="方正小标宋"/>
          <w:bCs/>
          <w:color w:val="000000"/>
          <w:spacing w:val="-10"/>
          <w:sz w:val="44"/>
          <w:szCs w:val="44"/>
        </w:rPr>
        <w:t>2021</w:t>
      </w:r>
      <w:r>
        <w:rPr>
          <w:rFonts w:hint="eastAsia" w:ascii="方正小标宋" w:hAnsi="Times New Roman" w:eastAsia="方正小标宋"/>
          <w:bCs/>
          <w:color w:val="000000"/>
          <w:spacing w:val="-10"/>
          <w:sz w:val="44"/>
          <w:szCs w:val="44"/>
        </w:rPr>
        <w:t>年度企业</w:t>
      </w:r>
    </w:p>
    <w:p w14:paraId="27BD4564">
      <w:pPr>
        <w:spacing w:line="600" w:lineRule="exact"/>
        <w:jc w:val="center"/>
        <w:rPr>
          <w:rFonts w:ascii="方正小标宋" w:hAnsi="Times New Roman" w:eastAsia="方正小标宋"/>
          <w:bCs/>
          <w:color w:val="000000"/>
          <w:spacing w:val="-10"/>
          <w:sz w:val="44"/>
          <w:szCs w:val="44"/>
        </w:rPr>
      </w:pPr>
      <w:r>
        <w:rPr>
          <w:rFonts w:hint="eastAsia" w:ascii="方正小标宋" w:hAnsi="Times New Roman" w:eastAsia="方正小标宋"/>
          <w:bCs/>
          <w:color w:val="000000"/>
          <w:spacing w:val="-10"/>
          <w:sz w:val="44"/>
          <w:szCs w:val="44"/>
        </w:rPr>
        <w:t>国有资产管理情况专项报告</w:t>
      </w:r>
    </w:p>
    <w:p w14:paraId="0D6C80C8">
      <w:pPr>
        <w:spacing w:line="588" w:lineRule="exact"/>
        <w:rPr>
          <w:rFonts w:ascii="Times New Roman" w:hAnsi="Times New Roman" w:eastAsia="仿宋_GB2312"/>
          <w:sz w:val="32"/>
          <w:szCs w:val="32"/>
        </w:rPr>
      </w:pPr>
    </w:p>
    <w:p w14:paraId="57CD5E42">
      <w:pPr>
        <w:spacing w:line="588" w:lineRule="exact"/>
        <w:rPr>
          <w:rFonts w:ascii="黑体" w:hAnsi="Times New Roman" w:eastAsia="黑体"/>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 xml:space="preserve"> </w:t>
      </w:r>
      <w:r>
        <w:rPr>
          <w:rFonts w:ascii="黑体" w:hAnsi="Times New Roman" w:eastAsia="黑体"/>
          <w:sz w:val="32"/>
          <w:szCs w:val="32"/>
        </w:rPr>
        <w:t xml:space="preserve"> </w:t>
      </w:r>
      <w:r>
        <w:rPr>
          <w:rFonts w:hint="eastAsia" w:ascii="黑体" w:hAnsi="Times New Roman" w:eastAsia="黑体"/>
          <w:sz w:val="32"/>
          <w:szCs w:val="32"/>
        </w:rPr>
        <w:t>一、企业国有资产基本情况</w:t>
      </w:r>
    </w:p>
    <w:p w14:paraId="350CB6D5">
      <w:pPr>
        <w:spacing w:line="588" w:lineRule="exact"/>
        <w:ind w:firstLine="640"/>
        <w:rPr>
          <w:rFonts w:ascii="仿宋_GB2312" w:hAnsi="Times New Roman" w:eastAsia="仿宋_GB2312"/>
          <w:sz w:val="32"/>
          <w:szCs w:val="32"/>
        </w:rPr>
      </w:pPr>
      <w:r>
        <w:rPr>
          <w:rFonts w:ascii="仿宋_GB2312" w:hAnsi="Times New Roman" w:eastAsia="仿宋_GB2312"/>
          <w:sz w:val="32"/>
          <w:szCs w:val="32"/>
        </w:rPr>
        <w:t xml:space="preserve"> 2021</w:t>
      </w:r>
      <w:r>
        <w:rPr>
          <w:rFonts w:hint="eastAsia" w:ascii="仿宋_GB2312" w:hAnsi="Times New Roman" w:eastAsia="仿宋_GB2312"/>
          <w:sz w:val="32"/>
          <w:szCs w:val="32"/>
        </w:rPr>
        <w:t>年，纳入企业国有资产统计范围的区级国有企业共</w:t>
      </w:r>
      <w:r>
        <w:rPr>
          <w:rFonts w:ascii="仿宋_GB2312" w:hAnsi="Times New Roman" w:eastAsia="仿宋_GB2312"/>
          <w:sz w:val="32"/>
          <w:szCs w:val="32"/>
        </w:rPr>
        <w:t>62</w:t>
      </w:r>
      <w:r>
        <w:rPr>
          <w:rFonts w:hint="eastAsia" w:ascii="仿宋_GB2312" w:hAnsi="Times New Roman" w:eastAsia="仿宋_GB2312"/>
          <w:sz w:val="32"/>
          <w:szCs w:val="32"/>
        </w:rPr>
        <w:t>户（不包含</w:t>
      </w:r>
      <w:r>
        <w:rPr>
          <w:rFonts w:ascii="仿宋_GB2312" w:hAnsi="Times New Roman" w:eastAsia="仿宋_GB2312"/>
          <w:sz w:val="32"/>
          <w:szCs w:val="32"/>
        </w:rPr>
        <w:t>2</w:t>
      </w:r>
      <w:r>
        <w:rPr>
          <w:rFonts w:hint="eastAsia" w:ascii="仿宋_GB2312" w:hAnsi="Times New Roman" w:eastAsia="仿宋_GB2312"/>
          <w:sz w:val="32"/>
          <w:szCs w:val="32"/>
        </w:rPr>
        <w:t>户金融企业），其中，区国资委监管的全级次企业</w:t>
      </w:r>
      <w:r>
        <w:rPr>
          <w:rFonts w:ascii="仿宋_GB2312" w:hAnsi="Times New Roman" w:eastAsia="仿宋_GB2312"/>
          <w:sz w:val="32"/>
          <w:szCs w:val="32"/>
        </w:rPr>
        <w:t>38</w:t>
      </w:r>
      <w:r>
        <w:rPr>
          <w:rFonts w:hint="eastAsia" w:ascii="仿宋_GB2312" w:hAnsi="Times New Roman" w:eastAsia="仿宋_GB2312"/>
          <w:sz w:val="32"/>
          <w:szCs w:val="32"/>
        </w:rPr>
        <w:t>户，各委办局监管的全级次企业</w:t>
      </w:r>
      <w:r>
        <w:rPr>
          <w:rFonts w:ascii="仿宋_GB2312" w:hAnsi="Times New Roman" w:eastAsia="仿宋_GB2312"/>
          <w:sz w:val="32"/>
          <w:szCs w:val="32"/>
        </w:rPr>
        <w:t>24</w:t>
      </w:r>
      <w:r>
        <w:rPr>
          <w:rFonts w:hint="eastAsia" w:ascii="仿宋_GB2312" w:hAnsi="Times New Roman" w:eastAsia="仿宋_GB2312"/>
          <w:sz w:val="32"/>
          <w:szCs w:val="32"/>
        </w:rPr>
        <w:t>户。按照汇总口径统计，截至</w:t>
      </w:r>
      <w:r>
        <w:rPr>
          <w:rFonts w:ascii="仿宋_GB2312" w:hAnsi="Times New Roman" w:eastAsia="仿宋_GB2312"/>
          <w:sz w:val="32"/>
          <w:szCs w:val="32"/>
        </w:rPr>
        <w:t>2021</w:t>
      </w:r>
      <w:r>
        <w:rPr>
          <w:rFonts w:hint="eastAsia" w:ascii="仿宋_GB2312" w:hAnsi="Times New Roman" w:eastAsia="仿宋_GB2312"/>
          <w:sz w:val="32"/>
          <w:szCs w:val="32"/>
        </w:rPr>
        <w:t>年底，区属国有企业资产总额</w:t>
      </w:r>
      <w:r>
        <w:rPr>
          <w:rFonts w:ascii="仿宋_GB2312" w:hAnsi="Times New Roman" w:eastAsia="仿宋_GB2312"/>
          <w:sz w:val="32"/>
          <w:szCs w:val="32"/>
        </w:rPr>
        <w:t>971.71</w:t>
      </w:r>
      <w:r>
        <w:rPr>
          <w:rFonts w:hint="eastAsia" w:ascii="仿宋_GB2312" w:hAnsi="Times New Roman" w:eastAsia="仿宋_GB2312"/>
          <w:sz w:val="32"/>
          <w:szCs w:val="32"/>
        </w:rPr>
        <w:t>亿元，同比降低</w:t>
      </w:r>
      <w:r>
        <w:rPr>
          <w:rFonts w:ascii="仿宋_GB2312" w:hAnsi="Times New Roman" w:eastAsia="仿宋_GB2312"/>
          <w:sz w:val="32"/>
          <w:szCs w:val="32"/>
        </w:rPr>
        <w:t>1.8%</w:t>
      </w:r>
      <w:r>
        <w:rPr>
          <w:rFonts w:hint="eastAsia" w:ascii="仿宋_GB2312" w:hAnsi="Times New Roman" w:eastAsia="仿宋_GB2312"/>
          <w:sz w:val="32"/>
          <w:szCs w:val="32"/>
        </w:rPr>
        <w:t>；负债总额</w:t>
      </w:r>
      <w:r>
        <w:rPr>
          <w:rFonts w:ascii="仿宋_GB2312" w:hAnsi="Times New Roman" w:eastAsia="仿宋_GB2312"/>
          <w:sz w:val="32"/>
          <w:szCs w:val="32"/>
        </w:rPr>
        <w:t>276.55</w:t>
      </w:r>
      <w:r>
        <w:rPr>
          <w:rFonts w:hint="eastAsia" w:ascii="仿宋_GB2312" w:hAnsi="Times New Roman" w:eastAsia="仿宋_GB2312"/>
          <w:sz w:val="32"/>
          <w:szCs w:val="32"/>
        </w:rPr>
        <w:t>亿元，同比增长</w:t>
      </w:r>
      <w:r>
        <w:rPr>
          <w:rFonts w:ascii="仿宋_GB2312" w:hAnsi="Times New Roman" w:eastAsia="仿宋_GB2312"/>
          <w:sz w:val="32"/>
          <w:szCs w:val="32"/>
        </w:rPr>
        <w:t>0.5%</w:t>
      </w:r>
      <w:r>
        <w:rPr>
          <w:rFonts w:hint="eastAsia" w:ascii="仿宋_GB2312" w:hAnsi="Times New Roman" w:eastAsia="仿宋_GB2312"/>
          <w:sz w:val="32"/>
          <w:szCs w:val="32"/>
        </w:rPr>
        <w:t>；所有者权益总额</w:t>
      </w:r>
      <w:r>
        <w:rPr>
          <w:rFonts w:ascii="仿宋_GB2312" w:hAnsi="Times New Roman" w:eastAsia="仿宋_GB2312"/>
          <w:sz w:val="32"/>
          <w:szCs w:val="32"/>
        </w:rPr>
        <w:t>695.16</w:t>
      </w:r>
      <w:r>
        <w:rPr>
          <w:rFonts w:hint="eastAsia" w:ascii="仿宋_GB2312" w:hAnsi="Times New Roman" w:eastAsia="仿宋_GB2312"/>
          <w:sz w:val="32"/>
          <w:szCs w:val="32"/>
        </w:rPr>
        <w:t>亿元，同比降低</w:t>
      </w:r>
      <w:r>
        <w:rPr>
          <w:rFonts w:ascii="仿宋_GB2312" w:hAnsi="Times New Roman" w:eastAsia="仿宋_GB2312"/>
          <w:sz w:val="32"/>
          <w:szCs w:val="32"/>
        </w:rPr>
        <w:t>2.7%</w:t>
      </w:r>
      <w:r>
        <w:rPr>
          <w:rFonts w:hint="eastAsia" w:ascii="仿宋_GB2312" w:hAnsi="Times New Roman" w:eastAsia="仿宋_GB2312"/>
          <w:sz w:val="32"/>
          <w:szCs w:val="32"/>
        </w:rPr>
        <w:t>；营业总收入及营业外收入</w:t>
      </w:r>
      <w:r>
        <w:rPr>
          <w:rFonts w:ascii="仿宋_GB2312" w:hAnsi="Times New Roman" w:eastAsia="仿宋_GB2312"/>
          <w:sz w:val="32"/>
          <w:szCs w:val="32"/>
        </w:rPr>
        <w:t>21.85</w:t>
      </w:r>
      <w:r>
        <w:rPr>
          <w:rFonts w:hint="eastAsia" w:ascii="仿宋_GB2312" w:hAnsi="Times New Roman" w:eastAsia="仿宋_GB2312"/>
          <w:sz w:val="32"/>
          <w:szCs w:val="32"/>
        </w:rPr>
        <w:t>亿元，同比增长</w:t>
      </w:r>
      <w:r>
        <w:rPr>
          <w:rFonts w:ascii="仿宋_GB2312" w:hAnsi="Times New Roman" w:eastAsia="仿宋_GB2312"/>
          <w:sz w:val="32"/>
          <w:szCs w:val="32"/>
        </w:rPr>
        <w:t>29.3%</w:t>
      </w:r>
      <w:r>
        <w:rPr>
          <w:rFonts w:hint="eastAsia" w:ascii="仿宋_GB2312" w:hAnsi="Times New Roman" w:eastAsia="仿宋_GB2312"/>
          <w:sz w:val="32"/>
          <w:szCs w:val="32"/>
        </w:rPr>
        <w:t>；营业总成本及营业外支出</w:t>
      </w:r>
      <w:r>
        <w:rPr>
          <w:rFonts w:ascii="仿宋_GB2312" w:hAnsi="Times New Roman" w:eastAsia="仿宋_GB2312"/>
          <w:sz w:val="32"/>
          <w:szCs w:val="32"/>
        </w:rPr>
        <w:t>22.02</w:t>
      </w:r>
      <w:r>
        <w:rPr>
          <w:rFonts w:hint="eastAsia" w:ascii="仿宋_GB2312" w:hAnsi="Times New Roman" w:eastAsia="仿宋_GB2312"/>
          <w:sz w:val="32"/>
          <w:szCs w:val="32"/>
        </w:rPr>
        <w:t>亿元，同比增长</w:t>
      </w:r>
      <w:r>
        <w:rPr>
          <w:rFonts w:ascii="仿宋_GB2312" w:hAnsi="Times New Roman" w:eastAsia="仿宋_GB2312"/>
          <w:sz w:val="32"/>
          <w:szCs w:val="32"/>
        </w:rPr>
        <w:t>10%</w:t>
      </w:r>
      <w:r>
        <w:rPr>
          <w:rFonts w:hint="eastAsia" w:ascii="仿宋_GB2312" w:hAnsi="Times New Roman" w:eastAsia="仿宋_GB2312"/>
          <w:sz w:val="32"/>
          <w:szCs w:val="32"/>
        </w:rPr>
        <w:t>；利润总额</w:t>
      </w:r>
      <w:r>
        <w:rPr>
          <w:rFonts w:ascii="仿宋_GB2312" w:hAnsi="Times New Roman" w:eastAsia="仿宋_GB2312"/>
          <w:sz w:val="32"/>
          <w:szCs w:val="32"/>
        </w:rPr>
        <w:t>0.92</w:t>
      </w:r>
      <w:r>
        <w:rPr>
          <w:rFonts w:hint="eastAsia" w:ascii="仿宋_GB2312" w:hAnsi="Times New Roman" w:eastAsia="仿宋_GB2312"/>
          <w:sz w:val="32"/>
          <w:szCs w:val="32"/>
        </w:rPr>
        <w:t>亿元，同比增长</w:t>
      </w:r>
      <w:r>
        <w:rPr>
          <w:rFonts w:ascii="仿宋_GB2312" w:hAnsi="Times New Roman" w:eastAsia="仿宋_GB2312"/>
          <w:sz w:val="32"/>
          <w:szCs w:val="32"/>
        </w:rPr>
        <w:t>7.3%</w:t>
      </w:r>
      <w:r>
        <w:rPr>
          <w:rFonts w:hint="eastAsia" w:ascii="仿宋_GB2312" w:hAnsi="Times New Roman" w:eastAsia="仿宋_GB2312"/>
          <w:sz w:val="32"/>
          <w:szCs w:val="32"/>
        </w:rPr>
        <w:t>；上缴税金</w:t>
      </w:r>
      <w:r>
        <w:rPr>
          <w:rFonts w:ascii="仿宋_GB2312" w:hAnsi="Times New Roman" w:eastAsia="仿宋_GB2312"/>
          <w:sz w:val="32"/>
          <w:szCs w:val="32"/>
        </w:rPr>
        <w:t>1.47</w:t>
      </w:r>
      <w:r>
        <w:rPr>
          <w:rFonts w:hint="eastAsia" w:ascii="仿宋_GB2312" w:hAnsi="Times New Roman" w:eastAsia="仿宋_GB2312"/>
          <w:sz w:val="32"/>
          <w:szCs w:val="32"/>
        </w:rPr>
        <w:t>亿元，同比增长</w:t>
      </w:r>
      <w:r>
        <w:rPr>
          <w:rFonts w:ascii="仿宋_GB2312" w:hAnsi="Times New Roman" w:eastAsia="仿宋_GB2312"/>
          <w:sz w:val="32"/>
          <w:szCs w:val="32"/>
        </w:rPr>
        <w:t>31.3%</w:t>
      </w:r>
      <w:r>
        <w:rPr>
          <w:rFonts w:hint="eastAsia" w:ascii="仿宋_GB2312" w:hAnsi="Times New Roman" w:eastAsia="仿宋_GB2312"/>
          <w:sz w:val="32"/>
          <w:szCs w:val="32"/>
        </w:rPr>
        <w:t>；资产负债率</w:t>
      </w:r>
      <w:r>
        <w:rPr>
          <w:rFonts w:ascii="仿宋_GB2312" w:hAnsi="Times New Roman" w:eastAsia="仿宋_GB2312"/>
          <w:sz w:val="32"/>
          <w:szCs w:val="32"/>
        </w:rPr>
        <w:t>28.5%</w:t>
      </w:r>
      <w:r>
        <w:rPr>
          <w:rFonts w:hint="eastAsia" w:ascii="仿宋_GB2312" w:hAnsi="Times New Roman" w:eastAsia="仿宋_GB2312"/>
          <w:sz w:val="32"/>
          <w:szCs w:val="32"/>
        </w:rPr>
        <w:t>。鉴于</w:t>
      </w:r>
      <w:r>
        <w:rPr>
          <w:rFonts w:ascii="仿宋_GB2312" w:hAnsi="Times New Roman" w:eastAsia="仿宋_GB2312"/>
          <w:sz w:val="32"/>
          <w:szCs w:val="32"/>
        </w:rPr>
        <w:t>2021</w:t>
      </w:r>
      <w:r>
        <w:rPr>
          <w:rFonts w:hint="eastAsia" w:ascii="仿宋_GB2312" w:hAnsi="Times New Roman" w:eastAsia="仿宋_GB2312"/>
          <w:sz w:val="32"/>
          <w:szCs w:val="32"/>
        </w:rPr>
        <w:t>年注销企业</w:t>
      </w:r>
      <w:r>
        <w:rPr>
          <w:rFonts w:ascii="仿宋_GB2312" w:hAnsi="Times New Roman" w:eastAsia="仿宋_GB2312"/>
          <w:sz w:val="32"/>
          <w:szCs w:val="32"/>
        </w:rPr>
        <w:t>6</w:t>
      </w:r>
      <w:r>
        <w:rPr>
          <w:rFonts w:hint="eastAsia" w:ascii="仿宋_GB2312" w:hAnsi="Times New Roman" w:eastAsia="仿宋_GB2312"/>
          <w:sz w:val="32"/>
          <w:szCs w:val="32"/>
        </w:rPr>
        <w:t>户，划转至街镇企业</w:t>
      </w:r>
      <w:r>
        <w:rPr>
          <w:rFonts w:ascii="仿宋_GB2312" w:hAnsi="Times New Roman" w:eastAsia="仿宋_GB2312"/>
          <w:sz w:val="32"/>
          <w:szCs w:val="32"/>
        </w:rPr>
        <w:t>2</w:t>
      </w:r>
      <w:r>
        <w:rPr>
          <w:rFonts w:hint="eastAsia" w:ascii="仿宋_GB2312" w:hAnsi="Times New Roman" w:eastAsia="仿宋_GB2312"/>
          <w:sz w:val="32"/>
          <w:szCs w:val="32"/>
        </w:rPr>
        <w:t>户，导致区属国企所有者权益下降，按照可比口径计算</w:t>
      </w:r>
      <w:r>
        <w:rPr>
          <w:rFonts w:ascii="仿宋_GB2312" w:hAnsi="Times New Roman" w:eastAsia="仿宋_GB2312"/>
          <w:sz w:val="32"/>
          <w:szCs w:val="32"/>
        </w:rPr>
        <w:t>2021</w:t>
      </w:r>
      <w:r>
        <w:rPr>
          <w:rFonts w:hint="eastAsia" w:ascii="仿宋_GB2312" w:hAnsi="Times New Roman" w:eastAsia="仿宋_GB2312"/>
          <w:sz w:val="32"/>
          <w:szCs w:val="32"/>
        </w:rPr>
        <w:t>年国有资本保值增值率为</w:t>
      </w:r>
      <w:r>
        <w:rPr>
          <w:rFonts w:ascii="仿宋_GB2312" w:hAnsi="Times New Roman" w:eastAsia="仿宋_GB2312"/>
          <w:sz w:val="32"/>
          <w:szCs w:val="32"/>
        </w:rPr>
        <w:t>100.06%</w:t>
      </w:r>
      <w:r>
        <w:rPr>
          <w:rFonts w:hint="eastAsia" w:ascii="仿宋_GB2312" w:hAnsi="Times New Roman" w:eastAsia="仿宋_GB2312"/>
          <w:sz w:val="32"/>
          <w:szCs w:val="32"/>
        </w:rPr>
        <w:t>。</w:t>
      </w:r>
    </w:p>
    <w:p w14:paraId="05A92F86">
      <w:pPr>
        <w:pStyle w:val="2"/>
        <w:spacing w:line="588" w:lineRule="exact"/>
        <w:ind w:firstLine="680"/>
        <w:rPr>
          <w:rFonts w:ascii="仿宋_GB2312" w:hAnsi="Times New Roman" w:eastAsia="仿宋_GB2312"/>
          <w:sz w:val="32"/>
          <w:szCs w:val="32"/>
        </w:rPr>
      </w:pPr>
      <w:r>
        <w:rPr>
          <w:rFonts w:hint="eastAsia" w:ascii="仿宋_GB2312" w:hAnsi="Times New Roman" w:eastAsia="仿宋_GB2312"/>
          <w:sz w:val="32"/>
          <w:szCs w:val="32"/>
        </w:rPr>
        <w:t>在以上</w:t>
      </w:r>
      <w:r>
        <w:rPr>
          <w:rFonts w:ascii="仿宋_GB2312" w:hAnsi="Times New Roman" w:eastAsia="仿宋_GB2312"/>
          <w:sz w:val="32"/>
          <w:szCs w:val="32"/>
        </w:rPr>
        <w:t>62</w:t>
      </w:r>
      <w:r>
        <w:rPr>
          <w:rFonts w:hint="eastAsia" w:ascii="仿宋_GB2312" w:hAnsi="Times New Roman" w:eastAsia="仿宋_GB2312"/>
          <w:sz w:val="32"/>
          <w:szCs w:val="32"/>
        </w:rPr>
        <w:t>户企业中，其中，</w:t>
      </w:r>
      <w:r>
        <w:rPr>
          <w:rFonts w:ascii="仿宋_GB2312" w:hAnsi="Times New Roman" w:eastAsia="仿宋_GB2312"/>
          <w:sz w:val="32"/>
          <w:szCs w:val="32"/>
        </w:rPr>
        <w:t>50</w:t>
      </w:r>
      <w:r>
        <w:rPr>
          <w:rFonts w:hint="eastAsia" w:ascii="仿宋_GB2312" w:hAnsi="Times New Roman" w:eastAsia="仿宋_GB2312"/>
          <w:sz w:val="32"/>
          <w:szCs w:val="32"/>
        </w:rPr>
        <w:t>户企业为功能性企业，</w:t>
      </w:r>
      <w:r>
        <w:rPr>
          <w:rFonts w:ascii="仿宋_GB2312" w:hAnsi="Times New Roman" w:eastAsia="仿宋_GB2312"/>
          <w:sz w:val="32"/>
          <w:szCs w:val="32"/>
        </w:rPr>
        <w:t>12</w:t>
      </w:r>
      <w:r>
        <w:rPr>
          <w:rFonts w:hint="eastAsia" w:ascii="仿宋_GB2312" w:hAnsi="Times New Roman" w:eastAsia="仿宋_GB2312"/>
          <w:sz w:val="32"/>
          <w:szCs w:val="32"/>
        </w:rPr>
        <w:t>户企业为经营性企业。</w:t>
      </w:r>
      <w:r>
        <w:rPr>
          <w:rFonts w:ascii="仿宋_GB2312" w:hAnsi="Times New Roman" w:eastAsia="仿宋_GB2312"/>
          <w:sz w:val="32"/>
          <w:szCs w:val="32"/>
        </w:rPr>
        <w:t>2021</w:t>
      </w:r>
      <w:r>
        <w:rPr>
          <w:rFonts w:hint="eastAsia" w:ascii="仿宋_GB2312" w:hAnsi="Times New Roman" w:eastAsia="仿宋_GB2312"/>
          <w:sz w:val="32"/>
          <w:szCs w:val="32"/>
        </w:rPr>
        <w:t>年，</w:t>
      </w:r>
      <w:r>
        <w:rPr>
          <w:rFonts w:ascii="仿宋_GB2312" w:hAnsi="Times New Roman" w:eastAsia="仿宋_GB2312"/>
          <w:sz w:val="32"/>
          <w:szCs w:val="32"/>
        </w:rPr>
        <w:t>12</w:t>
      </w:r>
      <w:r>
        <w:rPr>
          <w:rFonts w:hint="eastAsia" w:ascii="仿宋_GB2312" w:hAnsi="Times New Roman" w:eastAsia="仿宋_GB2312"/>
          <w:sz w:val="32"/>
          <w:szCs w:val="32"/>
        </w:rPr>
        <w:t>户经营性企业利润总额</w:t>
      </w:r>
      <w:r>
        <w:rPr>
          <w:rFonts w:ascii="仿宋_GB2312" w:hAnsi="Times New Roman" w:eastAsia="仿宋_GB2312"/>
          <w:sz w:val="32"/>
          <w:szCs w:val="32"/>
        </w:rPr>
        <w:t>0.71</w:t>
      </w:r>
      <w:r>
        <w:rPr>
          <w:rFonts w:hint="eastAsia" w:ascii="仿宋_GB2312" w:hAnsi="Times New Roman" w:eastAsia="仿宋_GB2312"/>
          <w:sz w:val="32"/>
          <w:szCs w:val="32"/>
        </w:rPr>
        <w:t>亿元，同比增长</w:t>
      </w:r>
      <w:r>
        <w:rPr>
          <w:rFonts w:ascii="仿宋_GB2312" w:hAnsi="Times New Roman" w:eastAsia="仿宋_GB2312"/>
          <w:sz w:val="32"/>
          <w:szCs w:val="32"/>
        </w:rPr>
        <w:t>26%</w:t>
      </w:r>
      <w:r>
        <w:rPr>
          <w:rFonts w:hint="eastAsia" w:ascii="仿宋_GB2312" w:hAnsi="Times New Roman" w:eastAsia="仿宋_GB2312"/>
          <w:sz w:val="32"/>
          <w:szCs w:val="32"/>
        </w:rPr>
        <w:t>；上缴税金</w:t>
      </w:r>
      <w:r>
        <w:rPr>
          <w:rFonts w:ascii="仿宋_GB2312" w:hAnsi="Times New Roman" w:eastAsia="仿宋_GB2312"/>
          <w:sz w:val="32"/>
          <w:szCs w:val="32"/>
        </w:rPr>
        <w:t>1.05</w:t>
      </w:r>
      <w:r>
        <w:rPr>
          <w:rFonts w:hint="eastAsia" w:ascii="仿宋_GB2312" w:hAnsi="Times New Roman" w:eastAsia="仿宋_GB2312"/>
          <w:sz w:val="32"/>
          <w:szCs w:val="32"/>
        </w:rPr>
        <w:t>亿元，同比增长</w:t>
      </w:r>
      <w:r>
        <w:rPr>
          <w:rFonts w:ascii="仿宋_GB2312" w:hAnsi="Times New Roman" w:eastAsia="仿宋_GB2312"/>
          <w:sz w:val="32"/>
          <w:szCs w:val="32"/>
        </w:rPr>
        <w:t>28%</w:t>
      </w:r>
      <w:r>
        <w:rPr>
          <w:rFonts w:hint="eastAsia" w:ascii="仿宋_GB2312" w:hAnsi="Times New Roman" w:eastAsia="仿宋_GB2312"/>
          <w:sz w:val="32"/>
          <w:szCs w:val="32"/>
        </w:rPr>
        <w:t>。</w:t>
      </w:r>
    </w:p>
    <w:p w14:paraId="52326A9E">
      <w:pPr>
        <w:pStyle w:val="2"/>
        <w:spacing w:line="588" w:lineRule="exact"/>
        <w:rPr>
          <w:rFonts w:ascii="黑体" w:hAnsi="Times New Roman" w:eastAsia="黑体"/>
          <w:sz w:val="32"/>
          <w:szCs w:val="32"/>
        </w:rPr>
      </w:pPr>
      <w:r>
        <w:rPr>
          <w:rFonts w:ascii="仿宋_GB2312" w:hAnsi="Times New Roman" w:eastAsia="仿宋_GB2312"/>
          <w:sz w:val="32"/>
          <w:szCs w:val="32"/>
        </w:rPr>
        <w:t xml:space="preserve">   </w:t>
      </w:r>
      <w:r>
        <w:rPr>
          <w:rFonts w:ascii="黑体" w:hAnsi="Times New Roman" w:eastAsia="黑体"/>
          <w:sz w:val="32"/>
          <w:szCs w:val="32"/>
        </w:rPr>
        <w:t xml:space="preserve"> </w:t>
      </w:r>
      <w:r>
        <w:rPr>
          <w:rFonts w:hint="eastAsia" w:ascii="黑体" w:hAnsi="Times New Roman" w:eastAsia="黑体"/>
          <w:sz w:val="32"/>
          <w:szCs w:val="32"/>
        </w:rPr>
        <w:t>二、国有资产管理情况</w:t>
      </w:r>
    </w:p>
    <w:p w14:paraId="12432051">
      <w:pPr>
        <w:spacing w:line="588" w:lineRule="exact"/>
        <w:ind w:left="680"/>
        <w:jc w:val="left"/>
        <w:rPr>
          <w:rFonts w:ascii="楷体_GB2312" w:hAnsi="楷体" w:eastAsia="楷体_GB2312" w:cs="楷体"/>
          <w:sz w:val="32"/>
          <w:szCs w:val="32"/>
          <w:highlight w:val="yellow"/>
        </w:rPr>
      </w:pPr>
      <w:r>
        <w:rPr>
          <w:rFonts w:hint="eastAsia" w:ascii="楷体_GB2312" w:hAnsi="楷体" w:eastAsia="楷体_GB2312" w:cs="楷体"/>
          <w:sz w:val="32"/>
          <w:szCs w:val="32"/>
        </w:rPr>
        <w:t>（一）国企发挥引领担当作用</w:t>
      </w:r>
    </w:p>
    <w:p w14:paraId="07173B88">
      <w:pPr>
        <w:pStyle w:val="3"/>
        <w:spacing w:line="588" w:lineRule="exact"/>
        <w:ind w:firstLine="643" w:firstLineChars="200"/>
        <w:rPr>
          <w:rFonts w:ascii="仿宋_GB2312" w:hAnsi="Times New Roman" w:eastAsia="仿宋_GB2312"/>
          <w:szCs w:val="32"/>
        </w:rPr>
      </w:pPr>
      <w:r>
        <w:rPr>
          <w:rFonts w:hint="eastAsia" w:ascii="仿宋_GB2312" w:hAnsi="Times New Roman" w:eastAsia="仿宋_GB2312"/>
          <w:b/>
          <w:bCs/>
          <w:szCs w:val="32"/>
        </w:rPr>
        <w:t>一是强化社会责任，服务民生保障。</w:t>
      </w:r>
      <w:r>
        <w:rPr>
          <w:rFonts w:hint="eastAsia" w:ascii="仿宋_GB2312" w:hAnsi="Times New Roman" w:eastAsia="仿宋_GB2312"/>
          <w:szCs w:val="32"/>
        </w:rPr>
        <w:t>紧盯民心工程，区城投公司高标准推进杨柳青大运河国家文化公园、西青区设施农业等项目，为区域发展提供强大助力。充分利用郊野公园现有资源，打造特色区域，利用大型节假日策划园区活动，不断吸引客流，丰富园区服务业态，</w:t>
      </w:r>
      <w:r>
        <w:rPr>
          <w:rFonts w:ascii="仿宋_GB2312" w:hAnsi="Times New Roman" w:eastAsia="仿宋_GB2312"/>
          <w:szCs w:val="32"/>
        </w:rPr>
        <w:t>2021</w:t>
      </w:r>
      <w:r>
        <w:rPr>
          <w:rFonts w:hint="eastAsia" w:ascii="仿宋_GB2312" w:hAnsi="Times New Roman" w:eastAsia="仿宋_GB2312"/>
          <w:szCs w:val="32"/>
        </w:rPr>
        <w:t>年客流量较</w:t>
      </w:r>
      <w:r>
        <w:rPr>
          <w:rFonts w:ascii="仿宋_GB2312" w:hAnsi="Times New Roman" w:eastAsia="仿宋_GB2312"/>
          <w:szCs w:val="32"/>
        </w:rPr>
        <w:t>2020</w:t>
      </w:r>
      <w:r>
        <w:rPr>
          <w:rFonts w:hint="eastAsia" w:ascii="仿宋_GB2312" w:hAnsi="Times New Roman" w:eastAsia="仿宋_GB2312"/>
          <w:szCs w:val="32"/>
        </w:rPr>
        <w:t>年约翻</w:t>
      </w:r>
      <w:r>
        <w:rPr>
          <w:rFonts w:ascii="仿宋_GB2312" w:hAnsi="Times New Roman" w:eastAsia="仿宋_GB2312"/>
          <w:szCs w:val="32"/>
        </w:rPr>
        <w:t>3</w:t>
      </w:r>
      <w:r>
        <w:rPr>
          <w:rFonts w:hint="eastAsia" w:ascii="仿宋_GB2312" w:hAnsi="Times New Roman" w:eastAsia="仿宋_GB2312"/>
          <w:szCs w:val="32"/>
        </w:rPr>
        <w:t>倍。南站商务公司投资</w:t>
      </w:r>
      <w:r>
        <w:rPr>
          <w:rFonts w:ascii="仿宋_GB2312" w:hAnsi="Times New Roman" w:eastAsia="仿宋_GB2312"/>
          <w:szCs w:val="32"/>
        </w:rPr>
        <w:t>6.4</w:t>
      </w:r>
      <w:r>
        <w:rPr>
          <w:rFonts w:hint="eastAsia" w:ascii="仿宋_GB2312" w:hAnsi="Times New Roman" w:eastAsia="仿宋_GB2312"/>
          <w:szCs w:val="32"/>
        </w:rPr>
        <w:t>亿元，建设九年一贯制学校，</w:t>
      </w:r>
      <w:r>
        <w:rPr>
          <w:rFonts w:ascii="仿宋_GB2312" w:hAnsi="Times New Roman" w:eastAsia="仿宋_GB2312"/>
          <w:szCs w:val="32"/>
        </w:rPr>
        <w:t>2021</w:t>
      </w:r>
      <w:r>
        <w:rPr>
          <w:rFonts w:hint="eastAsia" w:ascii="仿宋_GB2312" w:hAnsi="Times New Roman" w:eastAsia="仿宋_GB2312"/>
          <w:szCs w:val="32"/>
        </w:rPr>
        <w:t>年</w:t>
      </w:r>
      <w:r>
        <w:rPr>
          <w:rFonts w:ascii="仿宋_GB2312" w:hAnsi="Times New Roman" w:eastAsia="仿宋_GB2312"/>
          <w:szCs w:val="32"/>
        </w:rPr>
        <w:t>8</w:t>
      </w:r>
      <w:r>
        <w:rPr>
          <w:rFonts w:hint="eastAsia" w:ascii="仿宋_GB2312" w:hAnsi="Times New Roman" w:eastAsia="仿宋_GB2312"/>
          <w:szCs w:val="32"/>
        </w:rPr>
        <w:t>月投入使用，填补了南站科技商务区教育资源的空缺。经开集团推动赛达九支路道路工程进场施工，民和道停车楼项目顺利启动，完善服务功能。</w:t>
      </w:r>
    </w:p>
    <w:p w14:paraId="5591730E">
      <w:pPr>
        <w:widowControl/>
        <w:adjustRightInd w:val="0"/>
        <w:snapToGrid w:val="0"/>
        <w:spacing w:line="588" w:lineRule="exact"/>
        <w:ind w:firstLine="643" w:firstLineChars="200"/>
        <w:rPr>
          <w:rFonts w:ascii="仿宋_GB2312" w:hAnsi="Times New Roman" w:eastAsia="仿宋_GB2312"/>
          <w:color w:val="FF0000"/>
          <w:sz w:val="32"/>
          <w:szCs w:val="32"/>
          <w:highlight w:val="yellow"/>
        </w:rPr>
      </w:pPr>
      <w:r>
        <w:rPr>
          <w:rFonts w:hint="eastAsia" w:ascii="仿宋_GB2312" w:hAnsi="Times New Roman" w:eastAsia="仿宋_GB2312"/>
          <w:b/>
          <w:bCs/>
          <w:sz w:val="32"/>
          <w:szCs w:val="32"/>
        </w:rPr>
        <w:t>二是强化经济责任，服务区域发展。</w:t>
      </w:r>
      <w:r>
        <w:rPr>
          <w:rFonts w:hint="eastAsia" w:ascii="仿宋_GB2312" w:hAnsi="Times New Roman" w:eastAsia="仿宋_GB2312"/>
          <w:kern w:val="0"/>
          <w:sz w:val="32"/>
          <w:szCs w:val="32"/>
        </w:rPr>
        <w:t>区属国企营业收入、利润总额等主</w:t>
      </w:r>
      <w:r>
        <w:rPr>
          <w:rFonts w:hint="eastAsia" w:ascii="仿宋_GB2312" w:hAnsi="Times New Roman" w:eastAsia="仿宋_GB2312"/>
          <w:sz w:val="32"/>
          <w:szCs w:val="32"/>
        </w:rPr>
        <w:t>要经营指标保持平稳增长，上缴税金</w:t>
      </w:r>
      <w:r>
        <w:rPr>
          <w:rFonts w:ascii="仿宋_GB2312" w:hAnsi="Times New Roman" w:eastAsia="仿宋_GB2312"/>
          <w:sz w:val="32"/>
          <w:szCs w:val="32"/>
        </w:rPr>
        <w:t>1.47</w:t>
      </w:r>
      <w:r>
        <w:rPr>
          <w:rFonts w:hint="eastAsia" w:ascii="仿宋_GB2312" w:hAnsi="Times New Roman" w:eastAsia="仿宋_GB2312"/>
          <w:sz w:val="32"/>
          <w:szCs w:val="32"/>
        </w:rPr>
        <w:t>亿元，上缴国有资本收益</w:t>
      </w:r>
      <w:r>
        <w:rPr>
          <w:rFonts w:ascii="仿宋_GB2312" w:hAnsi="Times New Roman" w:eastAsia="仿宋_GB2312"/>
          <w:sz w:val="32"/>
          <w:szCs w:val="32"/>
        </w:rPr>
        <w:t>469.64</w:t>
      </w:r>
      <w:r>
        <w:rPr>
          <w:rFonts w:hint="eastAsia" w:ascii="仿宋_GB2312" w:hAnsi="Times New Roman" w:eastAsia="仿宋_GB2312"/>
          <w:sz w:val="32"/>
          <w:szCs w:val="32"/>
        </w:rPr>
        <w:t>万元，为区域经济发展作出突出贡献。带动全区招商引资工作，围绕集成电路、大数据、汽车配套、大健康、高端装备制造、新材料等领域，年内新引入灿芯半导体、科州生物、通铖教育等优质企业、项目</w:t>
      </w:r>
      <w:r>
        <w:rPr>
          <w:rFonts w:ascii="仿宋_GB2312" w:hAnsi="Times New Roman" w:eastAsia="仿宋_GB2312"/>
          <w:sz w:val="32"/>
          <w:szCs w:val="32"/>
        </w:rPr>
        <w:t>642</w:t>
      </w:r>
      <w:r>
        <w:rPr>
          <w:rFonts w:hint="eastAsia" w:ascii="仿宋_GB2312" w:hAnsi="Times New Roman" w:eastAsia="仿宋_GB2312"/>
          <w:sz w:val="32"/>
          <w:szCs w:val="32"/>
        </w:rPr>
        <w:t>个，人工智能产业园、赛达检测、创意产业园区运营情况良好，总体出租率均达</w:t>
      </w:r>
      <w:r>
        <w:rPr>
          <w:rFonts w:ascii="仿宋_GB2312" w:hAnsi="Times New Roman" w:eastAsia="仿宋_GB2312"/>
          <w:sz w:val="32"/>
          <w:szCs w:val="32"/>
        </w:rPr>
        <w:t>80%</w:t>
      </w:r>
      <w:r>
        <w:rPr>
          <w:rFonts w:hint="eastAsia" w:ascii="仿宋_GB2312" w:hAnsi="Times New Roman" w:eastAsia="仿宋_GB2312"/>
          <w:sz w:val="32"/>
          <w:szCs w:val="32"/>
        </w:rPr>
        <w:t>。永泰恒基强化产业链招商，</w:t>
      </w:r>
      <w:r>
        <w:rPr>
          <w:rFonts w:ascii="仿宋_GB2312" w:hAnsi="Times New Roman" w:eastAsia="仿宋_GB2312"/>
          <w:sz w:val="32"/>
          <w:szCs w:val="32"/>
        </w:rPr>
        <w:t>2021</w:t>
      </w:r>
      <w:r>
        <w:rPr>
          <w:rFonts w:hint="eastAsia" w:ascii="仿宋_GB2312" w:hAnsi="Times New Roman" w:eastAsia="仿宋_GB2312"/>
          <w:sz w:val="32"/>
          <w:szCs w:val="32"/>
        </w:rPr>
        <w:t>年共落地车联网项目</w:t>
      </w:r>
      <w:r>
        <w:rPr>
          <w:rFonts w:ascii="仿宋_GB2312" w:hAnsi="Times New Roman" w:eastAsia="仿宋_GB2312"/>
          <w:sz w:val="32"/>
          <w:szCs w:val="32"/>
        </w:rPr>
        <w:t>7</w:t>
      </w:r>
      <w:r>
        <w:rPr>
          <w:rFonts w:hint="eastAsia" w:ascii="仿宋_GB2312" w:hAnsi="Times New Roman" w:eastAsia="仿宋_GB2312"/>
          <w:sz w:val="32"/>
          <w:szCs w:val="32"/>
        </w:rPr>
        <w:t>个，有效提升了我区产业链完善度。支撑全区高质量发展，对标区域需求，全力解决发展堵点，年内融资、担保共</w:t>
      </w:r>
      <w:r>
        <w:rPr>
          <w:rFonts w:ascii="仿宋_GB2312" w:hAnsi="Times New Roman" w:eastAsia="仿宋_GB2312"/>
          <w:sz w:val="32"/>
          <w:szCs w:val="32"/>
        </w:rPr>
        <w:t>14</w:t>
      </w:r>
      <w:r>
        <w:rPr>
          <w:rFonts w:hint="eastAsia" w:ascii="仿宋_GB2312" w:hAnsi="Times New Roman" w:eastAsia="仿宋_GB2312"/>
          <w:sz w:val="32"/>
          <w:szCs w:val="32"/>
        </w:rPr>
        <w:t>笔、</w:t>
      </w:r>
      <w:r>
        <w:rPr>
          <w:rFonts w:ascii="仿宋_GB2312" w:hAnsi="Times New Roman" w:eastAsia="仿宋_GB2312"/>
          <w:sz w:val="32"/>
          <w:szCs w:val="32"/>
        </w:rPr>
        <w:t>86.13</w:t>
      </w:r>
      <w:r>
        <w:rPr>
          <w:rFonts w:hint="eastAsia" w:ascii="仿宋_GB2312" w:hAnsi="Times New Roman" w:eastAsia="仿宋_GB2312"/>
          <w:sz w:val="32"/>
          <w:szCs w:val="32"/>
        </w:rPr>
        <w:t>亿元。</w:t>
      </w:r>
    </w:p>
    <w:p w14:paraId="6CCEF32D">
      <w:pPr>
        <w:spacing w:line="588" w:lineRule="exact"/>
        <w:ind w:firstLine="640"/>
        <w:rPr>
          <w:rFonts w:ascii="仿宋_GB2312" w:hAnsi="Times New Roman" w:eastAsia="仿宋_GB2312"/>
          <w:sz w:val="32"/>
          <w:szCs w:val="32"/>
        </w:rPr>
      </w:pPr>
      <w:r>
        <w:rPr>
          <w:rFonts w:hint="eastAsia" w:ascii="仿宋_GB2312" w:hAnsi="Times New Roman" w:eastAsia="仿宋_GB2312"/>
          <w:b/>
          <w:bCs/>
          <w:sz w:val="32"/>
          <w:szCs w:val="32"/>
        </w:rPr>
        <w:t>三是强化政治责任，服务和谐稳定。</w:t>
      </w:r>
      <w:r>
        <w:rPr>
          <w:rFonts w:hint="eastAsia" w:ascii="仿宋_GB2312" w:eastAsia="仿宋_GB2312"/>
          <w:sz w:val="32"/>
          <w:szCs w:val="32"/>
        </w:rPr>
        <w:t>区管国企积极展现勇于担当的良好形象，在东西部协作中发挥排头兵作用，</w:t>
      </w:r>
      <w:r>
        <w:rPr>
          <w:rFonts w:hint="eastAsia" w:ascii="仿宋_GB2312" w:hAnsi="Times New Roman" w:eastAsia="仿宋_GB2312"/>
          <w:sz w:val="32"/>
          <w:szCs w:val="32"/>
        </w:rPr>
        <w:t>以“万企兴万村”工作为抓手，区城投公司、永泰恒基公司向对口帮扶地区企业捐款</w:t>
      </w:r>
      <w:r>
        <w:rPr>
          <w:rFonts w:ascii="仿宋_GB2312" w:hAnsi="Times New Roman" w:eastAsia="仿宋_GB2312"/>
          <w:sz w:val="32"/>
          <w:szCs w:val="32"/>
        </w:rPr>
        <w:t>30</w:t>
      </w:r>
      <w:r>
        <w:rPr>
          <w:rFonts w:hint="eastAsia" w:ascii="仿宋_GB2312" w:hAnsi="Times New Roman" w:eastAsia="仿宋_GB2312"/>
          <w:sz w:val="32"/>
          <w:szCs w:val="32"/>
        </w:rPr>
        <w:t>万；选派</w:t>
      </w:r>
      <w:r>
        <w:rPr>
          <w:rFonts w:ascii="仿宋_GB2312" w:hAnsi="Times New Roman" w:eastAsia="仿宋_GB2312"/>
          <w:sz w:val="32"/>
          <w:szCs w:val="32"/>
        </w:rPr>
        <w:t>2</w:t>
      </w:r>
      <w:r>
        <w:rPr>
          <w:rFonts w:hint="eastAsia" w:ascii="仿宋_GB2312" w:hAnsi="Times New Roman" w:eastAsia="仿宋_GB2312"/>
          <w:sz w:val="32"/>
          <w:szCs w:val="32"/>
        </w:rPr>
        <w:t>名国资系统专业技术人才赴甘肃等地开展技术帮扶工作，持续推动区域协调发展大战略。凝心聚力战疫情，区管国企年内累计派出</w:t>
      </w:r>
      <w:r>
        <w:rPr>
          <w:rFonts w:ascii="仿宋_GB2312" w:hAnsi="Times New Roman" w:eastAsia="仿宋_GB2312"/>
          <w:sz w:val="32"/>
          <w:szCs w:val="32"/>
        </w:rPr>
        <w:t>800</w:t>
      </w:r>
      <w:r>
        <w:rPr>
          <w:rFonts w:hint="eastAsia" w:ascii="仿宋_GB2312" w:hAnsi="Times New Roman" w:eastAsia="仿宋_GB2312"/>
          <w:sz w:val="32"/>
          <w:szCs w:val="32"/>
        </w:rPr>
        <w:t>余人投身疫情防控一线，组织党员干部摸排引导驻区国有企业</w:t>
      </w:r>
      <w:r>
        <w:rPr>
          <w:rFonts w:ascii="仿宋_GB2312" w:hAnsi="Times New Roman" w:eastAsia="仿宋_GB2312"/>
          <w:sz w:val="32"/>
          <w:szCs w:val="32"/>
        </w:rPr>
        <w:t>419</w:t>
      </w:r>
      <w:r>
        <w:rPr>
          <w:rFonts w:hint="eastAsia" w:ascii="仿宋_GB2312" w:hAnsi="Times New Roman" w:eastAsia="仿宋_GB2312"/>
          <w:sz w:val="32"/>
          <w:szCs w:val="32"/>
        </w:rPr>
        <w:t>家共</w:t>
      </w:r>
      <w:r>
        <w:rPr>
          <w:rFonts w:ascii="仿宋_GB2312" w:hAnsi="Times New Roman" w:eastAsia="仿宋_GB2312"/>
          <w:sz w:val="32"/>
          <w:szCs w:val="32"/>
        </w:rPr>
        <w:t>3.2</w:t>
      </w:r>
      <w:r>
        <w:rPr>
          <w:rFonts w:hint="eastAsia" w:ascii="仿宋_GB2312" w:hAnsi="Times New Roman" w:eastAsia="仿宋_GB2312"/>
          <w:sz w:val="32"/>
          <w:szCs w:val="32"/>
        </w:rPr>
        <w:t>万余名职工开展疫苗接种，行业接种率接近</w:t>
      </w:r>
      <w:r>
        <w:rPr>
          <w:rFonts w:ascii="仿宋_GB2312" w:hAnsi="Times New Roman" w:eastAsia="仿宋_GB2312"/>
          <w:sz w:val="32"/>
          <w:szCs w:val="32"/>
        </w:rPr>
        <w:t>98%</w:t>
      </w:r>
      <w:r>
        <w:rPr>
          <w:rFonts w:hint="eastAsia" w:ascii="仿宋_GB2312" w:hAnsi="Times New Roman" w:eastAsia="仿宋_GB2312"/>
          <w:sz w:val="32"/>
          <w:szCs w:val="32"/>
        </w:rPr>
        <w:t>。</w:t>
      </w:r>
    </w:p>
    <w:p w14:paraId="7A9123F1">
      <w:pPr>
        <w:spacing w:line="588" w:lineRule="exact"/>
        <w:ind w:firstLine="640"/>
        <w:rPr>
          <w:rFonts w:ascii="楷体_GB2312" w:hAnsi="楷体" w:eastAsia="楷体_GB2312" w:cs="楷体"/>
          <w:sz w:val="32"/>
          <w:szCs w:val="32"/>
        </w:rPr>
      </w:pPr>
      <w:r>
        <w:rPr>
          <w:rFonts w:hint="eastAsia" w:ascii="楷体_GB2312" w:hAnsi="楷体" w:eastAsia="楷体_GB2312" w:cs="楷体"/>
          <w:sz w:val="32"/>
          <w:szCs w:val="32"/>
        </w:rPr>
        <w:t>（二）国企改革三年行动向纵深推进</w:t>
      </w:r>
    </w:p>
    <w:p w14:paraId="4F85B400">
      <w:pPr>
        <w:spacing w:line="588"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截至</w:t>
      </w:r>
      <w:r>
        <w:rPr>
          <w:rFonts w:ascii="仿宋_GB2312" w:hAnsi="Times New Roman" w:eastAsia="仿宋_GB2312"/>
          <w:sz w:val="32"/>
          <w:szCs w:val="32"/>
        </w:rPr>
        <w:t>2021</w:t>
      </w:r>
      <w:r>
        <w:rPr>
          <w:rFonts w:hint="eastAsia" w:ascii="仿宋_GB2312" w:hAnsi="Times New Roman" w:eastAsia="仿宋_GB2312"/>
          <w:sz w:val="32"/>
          <w:szCs w:val="32"/>
        </w:rPr>
        <w:t>年底，西青区国企改革三年行动整体任务完成率达</w:t>
      </w:r>
      <w:r>
        <w:rPr>
          <w:rFonts w:ascii="仿宋_GB2312" w:hAnsi="Times New Roman" w:eastAsia="仿宋_GB2312"/>
          <w:sz w:val="32"/>
          <w:szCs w:val="32"/>
        </w:rPr>
        <w:t>92.29%</w:t>
      </w:r>
      <w:r>
        <w:rPr>
          <w:rFonts w:hint="eastAsia" w:ascii="仿宋_GB2312" w:hAnsi="Times New Roman" w:eastAsia="仿宋_GB2312"/>
          <w:sz w:val="32"/>
          <w:szCs w:val="32"/>
        </w:rPr>
        <w:t>，</w:t>
      </w:r>
      <w:r>
        <w:rPr>
          <w:rFonts w:hint="eastAsia" w:ascii="仿宋_GB2312" w:eastAsia="仿宋_GB2312"/>
          <w:sz w:val="32"/>
          <w:szCs w:val="32"/>
        </w:rPr>
        <w:t>量化指标排名位居全市前列。</w:t>
      </w:r>
    </w:p>
    <w:p w14:paraId="457734D9">
      <w:pPr>
        <w:spacing w:line="588" w:lineRule="exact"/>
        <w:ind w:firstLine="680"/>
        <w:rPr>
          <w:rFonts w:ascii="仿宋_GB2312" w:hAnsi="Times New Roman" w:eastAsia="仿宋_GB2312"/>
          <w:sz w:val="32"/>
          <w:szCs w:val="32"/>
        </w:rPr>
      </w:pPr>
      <w:r>
        <w:rPr>
          <w:rFonts w:hint="eastAsia" w:ascii="仿宋_GB2312" w:hAnsi="Times New Roman" w:eastAsia="仿宋_GB2312"/>
          <w:b/>
          <w:bCs/>
          <w:sz w:val="32"/>
          <w:szCs w:val="32"/>
        </w:rPr>
        <w:t>一是完善中国特色现代企业制度，构建科学有效治理机制。</w:t>
      </w:r>
      <w:r>
        <w:rPr>
          <w:rFonts w:hint="eastAsia" w:ascii="仿宋_GB2312" w:hAnsi="Times New Roman" w:eastAsia="仿宋_GB2312"/>
          <w:sz w:val="32"/>
          <w:szCs w:val="32"/>
        </w:rPr>
        <w:t>推动党的领导融入公司治理，区管企业落实党组织书记与董事长“一肩挑”、党组织研究讨论前置程序要求均达到</w:t>
      </w:r>
      <w:r>
        <w:rPr>
          <w:rFonts w:ascii="仿宋_GB2312" w:hAnsi="Times New Roman" w:eastAsia="仿宋_GB2312"/>
          <w:sz w:val="32"/>
          <w:szCs w:val="32"/>
        </w:rPr>
        <w:t>100%</w:t>
      </w:r>
      <w:r>
        <w:rPr>
          <w:rFonts w:hint="eastAsia" w:ascii="仿宋_GB2312" w:hAnsi="Times New Roman" w:eastAsia="仿宋_GB2312"/>
          <w:sz w:val="32"/>
          <w:szCs w:val="32"/>
        </w:rPr>
        <w:t>，全面制定了党组织会议议事规则和前置研究讨论重大事项清单。加强规范董事会建设，为经开集团择优选聘</w:t>
      </w:r>
      <w:r>
        <w:rPr>
          <w:rFonts w:ascii="仿宋_GB2312" w:hAnsi="Times New Roman" w:eastAsia="仿宋_GB2312"/>
          <w:sz w:val="32"/>
          <w:szCs w:val="32"/>
        </w:rPr>
        <w:t>6</w:t>
      </w:r>
      <w:r>
        <w:rPr>
          <w:rFonts w:hint="eastAsia" w:ascii="仿宋_GB2312" w:hAnsi="Times New Roman" w:eastAsia="仿宋_GB2312"/>
          <w:sz w:val="32"/>
          <w:szCs w:val="32"/>
        </w:rPr>
        <w:t>名兼职外部董事，实现外部董事占多数，提高董事会科学决策水平。保障经理层依法行权履职，区管一级企业全部建立了董事会向经理授权机制，制定了《董事会向经理层授权管理办法》，依法保障经理层责权利，严格落实总经理对董事会负责、向董事会报告的工作机制，强化工作监督。</w:t>
      </w:r>
    </w:p>
    <w:p w14:paraId="1F5C3CF3">
      <w:pPr>
        <w:widowControl/>
        <w:overflowPunct w:val="0"/>
        <w:adjustRightInd w:val="0"/>
        <w:snapToGrid w:val="0"/>
        <w:spacing w:line="588"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二是推动混合所有制改革，实现国有经济与民营经济深层次融合。</w:t>
      </w:r>
      <w:r>
        <w:rPr>
          <w:rFonts w:hint="eastAsia" w:ascii="仿宋_GB2312" w:hAnsi="Times New Roman" w:eastAsia="仿宋_GB2312"/>
          <w:sz w:val="32"/>
          <w:szCs w:val="32"/>
        </w:rPr>
        <w:t>按照“结合实际，宜控则控，宜参则参，投资与引资相结合”的原则，围绕生态环保、战略新兴产业、基础设施建设、产业基金等领域，借助项目合作带动资本混合，通过新设、出资入股等方式，累计成立</w:t>
      </w:r>
      <w:r>
        <w:rPr>
          <w:rFonts w:ascii="仿宋_GB2312" w:hAnsi="Times New Roman" w:eastAsia="仿宋_GB2312"/>
          <w:sz w:val="32"/>
          <w:szCs w:val="32"/>
        </w:rPr>
        <w:t>12</w:t>
      </w:r>
      <w:r>
        <w:rPr>
          <w:rFonts w:hint="eastAsia" w:ascii="仿宋_GB2312" w:hAnsi="Times New Roman" w:eastAsia="仿宋_GB2312"/>
          <w:sz w:val="32"/>
          <w:szCs w:val="32"/>
        </w:rPr>
        <w:t>家混改企业，其中，参与设立中芯海河赛达、宜科天创等</w:t>
      </w:r>
      <w:r>
        <w:rPr>
          <w:rFonts w:ascii="仿宋_GB2312" w:hAnsi="Times New Roman" w:eastAsia="仿宋_GB2312"/>
          <w:sz w:val="32"/>
          <w:szCs w:val="32"/>
        </w:rPr>
        <w:t>5</w:t>
      </w:r>
      <w:r>
        <w:rPr>
          <w:rFonts w:hint="eastAsia" w:ascii="仿宋_GB2312" w:hAnsi="Times New Roman" w:eastAsia="仿宋_GB2312"/>
          <w:sz w:val="32"/>
          <w:szCs w:val="32"/>
        </w:rPr>
        <w:t>只股权基金，累计投资项目</w:t>
      </w:r>
      <w:r>
        <w:rPr>
          <w:rFonts w:ascii="仿宋_GB2312" w:hAnsi="Times New Roman" w:eastAsia="仿宋_GB2312"/>
          <w:sz w:val="32"/>
          <w:szCs w:val="32"/>
        </w:rPr>
        <w:t>30</w:t>
      </w:r>
      <w:r>
        <w:rPr>
          <w:rFonts w:hint="eastAsia" w:ascii="仿宋_GB2312" w:hAnsi="Times New Roman" w:eastAsia="仿宋_GB2312"/>
          <w:sz w:val="32"/>
          <w:szCs w:val="32"/>
        </w:rPr>
        <w:t>个，实现增值</w:t>
      </w:r>
      <w:r>
        <w:rPr>
          <w:rFonts w:ascii="仿宋_GB2312" w:hAnsi="Times New Roman" w:eastAsia="仿宋_GB2312"/>
          <w:sz w:val="32"/>
          <w:szCs w:val="32"/>
        </w:rPr>
        <w:t>7.8</w:t>
      </w:r>
      <w:r>
        <w:rPr>
          <w:rFonts w:hint="eastAsia" w:ascii="仿宋_GB2312" w:hAnsi="Times New Roman" w:eastAsia="仿宋_GB2312"/>
          <w:sz w:val="32"/>
          <w:szCs w:val="32"/>
        </w:rPr>
        <w:t>亿元，多个项目进行了后续融资，投资的经纬恒润、华海清科、唯捷创芯三家企业已获科创板上市申请通过，目前正在进行注册。</w:t>
      </w:r>
    </w:p>
    <w:p w14:paraId="484C0841">
      <w:pPr>
        <w:spacing w:line="588" w:lineRule="exact"/>
        <w:ind w:firstLine="680"/>
        <w:rPr>
          <w:rFonts w:ascii="仿宋_GB2312" w:hAnsi="Times New Roman" w:eastAsia="仿宋_GB2312"/>
          <w:sz w:val="32"/>
          <w:szCs w:val="32"/>
        </w:rPr>
      </w:pPr>
      <w:r>
        <w:rPr>
          <w:rFonts w:hint="eastAsia" w:ascii="仿宋_GB2312" w:hAnsi="Times New Roman" w:eastAsia="仿宋_GB2312"/>
          <w:b/>
          <w:bCs/>
          <w:color w:val="000000"/>
          <w:kern w:val="0"/>
          <w:sz w:val="32"/>
          <w:szCs w:val="32"/>
        </w:rPr>
        <w:t>三是健全市场化经营机制，激发国有企业活力。</w:t>
      </w:r>
      <w:r>
        <w:rPr>
          <w:rFonts w:hint="eastAsia" w:ascii="仿宋_GB2312" w:hAnsi="Times New Roman" w:eastAsia="仿宋_GB2312" w:cs="方正仿宋简体"/>
          <w:color w:val="000000"/>
          <w:kern w:val="0"/>
          <w:sz w:val="32"/>
          <w:szCs w:val="32"/>
        </w:rPr>
        <w:t>进一步发挥考核“指挥棒”作用，加强业绩考核管理，完成</w:t>
      </w:r>
      <w:r>
        <w:rPr>
          <w:rFonts w:ascii="仿宋_GB2312" w:hAnsi="Times New Roman" w:eastAsia="仿宋_GB2312" w:cs="方正仿宋简体"/>
          <w:color w:val="000000"/>
          <w:kern w:val="0"/>
          <w:sz w:val="32"/>
          <w:szCs w:val="32"/>
        </w:rPr>
        <w:t>2020</w:t>
      </w:r>
      <w:r>
        <w:rPr>
          <w:rFonts w:hint="eastAsia" w:ascii="仿宋_GB2312" w:hAnsi="Times New Roman" w:eastAsia="仿宋_GB2312" w:cs="方正仿宋简体"/>
          <w:color w:val="000000"/>
          <w:kern w:val="0"/>
          <w:sz w:val="32"/>
          <w:szCs w:val="32"/>
        </w:rPr>
        <w:t>年度企业负责人经营业绩考核和薪酬管理工作。坚持问题导向、目标导向和结果导向，</w:t>
      </w:r>
      <w:r>
        <w:rPr>
          <w:rFonts w:hint="eastAsia" w:ascii="仿宋_GB2312" w:hAnsi="Times New Roman" w:eastAsia="仿宋_GB2312"/>
          <w:sz w:val="32"/>
          <w:szCs w:val="32"/>
        </w:rPr>
        <w:t>修订印发区管国有企业负责人薪酬管理、经营业绩考核办法及实施细则，进一步健全“</w:t>
      </w:r>
      <w:r>
        <w:rPr>
          <w:rFonts w:ascii="仿宋_GB2312" w:hAnsi="Times New Roman" w:eastAsia="仿宋_GB2312"/>
          <w:sz w:val="32"/>
          <w:szCs w:val="32"/>
        </w:rPr>
        <w:t>2+1</w:t>
      </w:r>
      <w:r>
        <w:rPr>
          <w:rFonts w:hint="eastAsia" w:ascii="仿宋_GB2312" w:hAnsi="Times New Roman" w:eastAsia="仿宋_GB2312"/>
          <w:sz w:val="32"/>
          <w:szCs w:val="32"/>
        </w:rPr>
        <w:t>”区管企业负责人经营业绩考核和薪酬管理制度体系。区管一级企业经理层成员任期制和契约化管理实现全覆盖，各企业制定了相关管理办法，</w:t>
      </w:r>
      <w:r>
        <w:rPr>
          <w:rFonts w:hint="eastAsia" w:ascii="仿宋_GB2312" w:eastAsia="仿宋_GB2312"/>
          <w:sz w:val="32"/>
          <w:szCs w:val="32"/>
        </w:rPr>
        <w:t>董事会</w:t>
      </w:r>
      <w:r>
        <w:rPr>
          <w:rFonts w:hint="eastAsia" w:ascii="仿宋_GB2312" w:hAnsi="Times New Roman" w:eastAsia="仿宋_GB2312"/>
          <w:sz w:val="32"/>
          <w:szCs w:val="32"/>
        </w:rPr>
        <w:t>与经理层签订年度经营业绩责任书。全面推行市场化用工，区管企业全部建立了以劳动合同管理为关键、以岗位管理为基础的市场化用工制度，实行社会化招聘和契约化管理，年内新进员工公开招聘率达</w:t>
      </w:r>
      <w:r>
        <w:rPr>
          <w:rFonts w:ascii="仿宋_GB2312" w:hAnsi="Times New Roman" w:eastAsia="仿宋_GB2312"/>
          <w:sz w:val="32"/>
          <w:szCs w:val="32"/>
        </w:rPr>
        <w:t>100%</w:t>
      </w:r>
      <w:r>
        <w:rPr>
          <w:rFonts w:hint="eastAsia" w:ascii="仿宋_GB2312" w:hAnsi="Times New Roman" w:eastAsia="仿宋_GB2312"/>
          <w:sz w:val="32"/>
          <w:szCs w:val="32"/>
        </w:rPr>
        <w:t>。完善市场化薪酬分配机制，区管企业实行全员绩效考核，坚持业绩考核与激励约束紧密结合，实现了考核优、薪酬高，考核劣、薪酬低，全年末等调整和不胜任退出共</w:t>
      </w:r>
      <w:r>
        <w:rPr>
          <w:rFonts w:ascii="仿宋_GB2312" w:hAnsi="Times New Roman" w:eastAsia="仿宋_GB2312"/>
          <w:sz w:val="32"/>
          <w:szCs w:val="32"/>
        </w:rPr>
        <w:t>7</w:t>
      </w:r>
      <w:r>
        <w:rPr>
          <w:rFonts w:hint="eastAsia" w:ascii="仿宋_GB2312" w:hAnsi="Times New Roman" w:eastAsia="仿宋_GB2312"/>
          <w:sz w:val="32"/>
          <w:szCs w:val="32"/>
        </w:rPr>
        <w:t>人。</w:t>
      </w:r>
    </w:p>
    <w:p w14:paraId="613940D1">
      <w:pPr>
        <w:spacing w:line="588" w:lineRule="exact"/>
        <w:rPr>
          <w:rFonts w:ascii="仿宋_GB2312" w:hAnsi="Times New Roman" w:eastAsia="仿宋_GB2312"/>
          <w:sz w:val="32"/>
          <w:szCs w:val="32"/>
        </w:rPr>
      </w:pPr>
      <w:r>
        <w:rPr>
          <w:rFonts w:ascii="仿宋_GB2312" w:hAnsi="Times New Roman" w:eastAsia="仿宋_GB2312"/>
          <w:b/>
          <w:bCs/>
          <w:sz w:val="32"/>
          <w:szCs w:val="32"/>
        </w:rPr>
        <w:t xml:space="preserve">    </w:t>
      </w:r>
      <w:r>
        <w:rPr>
          <w:rFonts w:hint="eastAsia" w:ascii="仿宋_GB2312" w:hAnsi="Times New Roman" w:eastAsia="仿宋_GB2312"/>
          <w:b/>
          <w:bCs/>
          <w:sz w:val="32"/>
          <w:szCs w:val="32"/>
        </w:rPr>
        <w:t>四是抓好年度重点改革任务，理顺国企管理体制。</w:t>
      </w:r>
      <w:r>
        <w:rPr>
          <w:rFonts w:hint="eastAsia" w:ascii="仿宋_GB2312" w:hAnsi="Times New Roman" w:eastAsia="仿宋_GB2312"/>
          <w:sz w:val="32"/>
          <w:szCs w:val="32"/>
        </w:rPr>
        <w:t>区属国企公司制改革全面完成，通过整体改制、吸收合并、清算注销等多种改革途径，</w:t>
      </w:r>
      <w:r>
        <w:rPr>
          <w:rFonts w:ascii="仿宋_GB2312" w:hAnsi="Times New Roman" w:eastAsia="仿宋_GB2312"/>
          <w:sz w:val="32"/>
          <w:szCs w:val="32"/>
        </w:rPr>
        <w:t>2021</w:t>
      </w:r>
      <w:r>
        <w:rPr>
          <w:rFonts w:hint="eastAsia" w:ascii="仿宋_GB2312" w:hAnsi="Times New Roman" w:eastAsia="仿宋_GB2312"/>
          <w:sz w:val="32"/>
          <w:szCs w:val="32"/>
        </w:rPr>
        <w:t>年</w:t>
      </w:r>
      <w:r>
        <w:rPr>
          <w:rFonts w:ascii="仿宋_GB2312" w:hAnsi="Times New Roman" w:eastAsia="仿宋_GB2312"/>
          <w:sz w:val="32"/>
          <w:szCs w:val="32"/>
        </w:rPr>
        <w:t>7</w:t>
      </w:r>
      <w:r>
        <w:rPr>
          <w:rFonts w:hint="eastAsia" w:ascii="仿宋_GB2312" w:hAnsi="Times New Roman" w:eastAsia="仿宋_GB2312"/>
          <w:sz w:val="32"/>
          <w:szCs w:val="32"/>
        </w:rPr>
        <w:t>月底提前完成市级台账中</w:t>
      </w:r>
      <w:r>
        <w:rPr>
          <w:rFonts w:ascii="仿宋_GB2312" w:hAnsi="Times New Roman" w:eastAsia="仿宋_GB2312"/>
          <w:sz w:val="32"/>
          <w:szCs w:val="32"/>
        </w:rPr>
        <w:t>14</w:t>
      </w:r>
      <w:r>
        <w:rPr>
          <w:rFonts w:hint="eastAsia" w:ascii="仿宋_GB2312" w:hAnsi="Times New Roman" w:eastAsia="仿宋_GB2312"/>
          <w:sz w:val="32"/>
          <w:szCs w:val="32"/>
        </w:rPr>
        <w:t>户国有企业公司制改革任务，从制度层面确保了国有企业成为独立市场主体，获得了市深化国企改革领导小组办公室的书面表扬。经营性国有资产集中统一监管基本完成，采用直接监管、委托监管两种方式，“一企一策”确定了改革路线图和时间表，截至</w:t>
      </w:r>
      <w:r>
        <w:rPr>
          <w:rFonts w:ascii="仿宋_GB2312" w:hAnsi="Times New Roman" w:eastAsia="仿宋_GB2312"/>
          <w:sz w:val="32"/>
          <w:szCs w:val="32"/>
        </w:rPr>
        <w:t>12</w:t>
      </w:r>
      <w:r>
        <w:rPr>
          <w:rFonts w:hint="eastAsia" w:ascii="仿宋_GB2312" w:hAnsi="Times New Roman" w:eastAsia="仿宋_GB2312"/>
          <w:sz w:val="32"/>
          <w:szCs w:val="32"/>
        </w:rPr>
        <w:t>月底区级经营性国有资产集中统一监管工作基本完成，集中统一监管比例达</w:t>
      </w:r>
      <w:r>
        <w:rPr>
          <w:rFonts w:ascii="仿宋_GB2312" w:hAnsi="Times New Roman" w:eastAsia="仿宋_GB2312"/>
          <w:sz w:val="32"/>
          <w:szCs w:val="32"/>
        </w:rPr>
        <w:t>99.73%</w:t>
      </w:r>
      <w:r>
        <w:rPr>
          <w:rFonts w:hint="eastAsia" w:ascii="仿宋_GB2312" w:hAnsi="Times New Roman" w:eastAsia="仿宋_GB2312"/>
          <w:sz w:val="32"/>
          <w:szCs w:val="32"/>
        </w:rPr>
        <w:t>。企业清退工作扎实推进，按照行业相近、业务相同的原则，开展压缩层级、减少法人户数工作，</w:t>
      </w:r>
      <w:r>
        <w:rPr>
          <w:rFonts w:ascii="仿宋_GB2312" w:hAnsi="Times New Roman" w:eastAsia="仿宋_GB2312"/>
          <w:sz w:val="32"/>
          <w:szCs w:val="32"/>
        </w:rPr>
        <w:t>2021</w:t>
      </w:r>
      <w:r>
        <w:rPr>
          <w:rFonts w:hint="eastAsia" w:ascii="仿宋_GB2312" w:hAnsi="Times New Roman" w:eastAsia="仿宋_GB2312"/>
          <w:sz w:val="32"/>
          <w:szCs w:val="32"/>
        </w:rPr>
        <w:t>年，减少法人单位</w:t>
      </w:r>
      <w:r>
        <w:rPr>
          <w:rFonts w:ascii="仿宋_GB2312" w:hAnsi="Times New Roman" w:eastAsia="仿宋_GB2312"/>
          <w:sz w:val="32"/>
          <w:szCs w:val="32"/>
        </w:rPr>
        <w:t>27</w:t>
      </w:r>
      <w:r>
        <w:rPr>
          <w:rFonts w:hint="eastAsia" w:ascii="仿宋_GB2312" w:hAnsi="Times New Roman" w:eastAsia="仿宋_GB2312"/>
          <w:sz w:val="32"/>
          <w:szCs w:val="32"/>
        </w:rPr>
        <w:t>户。深度整合街镇属国有企业，指导街镇制定国企重组整合方案，打造“</w:t>
      </w:r>
      <w:r>
        <w:rPr>
          <w:rFonts w:ascii="仿宋_GB2312" w:hAnsi="Times New Roman" w:eastAsia="仿宋_GB2312"/>
          <w:sz w:val="32"/>
          <w:szCs w:val="32"/>
        </w:rPr>
        <w:t>2+N</w:t>
      </w:r>
      <w:r>
        <w:rPr>
          <w:rFonts w:hint="eastAsia" w:ascii="仿宋_GB2312" w:hAnsi="Times New Roman" w:eastAsia="仿宋_GB2312"/>
          <w:sz w:val="32"/>
          <w:szCs w:val="32"/>
        </w:rPr>
        <w:t>”国资布局结构，优化国有资源配置，规范企业运行。</w:t>
      </w:r>
    </w:p>
    <w:p w14:paraId="6036283F">
      <w:pPr>
        <w:widowControl/>
        <w:spacing w:line="588" w:lineRule="exact"/>
        <w:jc w:val="left"/>
        <w:rPr>
          <w:rFonts w:ascii="楷体_GB2312" w:eastAsia="楷体_GB2312"/>
          <w:sz w:val="32"/>
          <w:szCs w:val="32"/>
        </w:rPr>
      </w:pPr>
      <w:r>
        <w:rPr>
          <w:rFonts w:ascii="仿宋_GB2312" w:hAnsi="Times New Roman" w:eastAsia="仿宋_GB2312"/>
          <w:sz w:val="32"/>
          <w:szCs w:val="32"/>
        </w:rPr>
        <w:t xml:space="preserve"> </w:t>
      </w:r>
      <w:r>
        <w:rPr>
          <w:rFonts w:ascii="楷体_GB2312" w:hAnsi="Times New Roman" w:eastAsia="楷体_GB2312"/>
          <w:sz w:val="32"/>
          <w:szCs w:val="32"/>
        </w:rPr>
        <w:t xml:space="preserve"> </w:t>
      </w:r>
      <w:r>
        <w:rPr>
          <w:rFonts w:ascii="楷体_GB2312" w:eastAsia="楷体_GB2312"/>
          <w:b/>
          <w:bCs/>
          <w:sz w:val="32"/>
          <w:szCs w:val="32"/>
        </w:rPr>
        <w:t xml:space="preserve">   </w:t>
      </w:r>
      <w:r>
        <w:rPr>
          <w:rFonts w:hint="eastAsia" w:ascii="楷体_GB2312" w:hAnsi="楷体" w:eastAsia="楷体_GB2312" w:cs="楷体"/>
          <w:sz w:val="32"/>
          <w:szCs w:val="32"/>
        </w:rPr>
        <w:t>（三）专业化法治化监管体系持续完善</w:t>
      </w:r>
    </w:p>
    <w:p w14:paraId="61A259F2">
      <w:pPr>
        <w:pStyle w:val="2"/>
        <w:spacing w:line="588" w:lineRule="exact"/>
        <w:ind w:firstLine="680"/>
        <w:rPr>
          <w:rFonts w:ascii="仿宋_GB2312" w:hAnsi="Times New Roman" w:eastAsia="仿宋_GB2312"/>
          <w:sz w:val="32"/>
          <w:szCs w:val="32"/>
        </w:rPr>
      </w:pPr>
      <w:r>
        <w:rPr>
          <w:rFonts w:hint="eastAsia" w:ascii="仿宋_GB2312" w:hAnsi="Times New Roman" w:eastAsia="仿宋_GB2312"/>
          <w:b/>
          <w:bCs/>
          <w:sz w:val="32"/>
          <w:szCs w:val="32"/>
        </w:rPr>
        <w:t>一是完善监督管理制度，提升专业监管水平。</w:t>
      </w:r>
      <w:r>
        <w:rPr>
          <w:rFonts w:hint="eastAsia" w:ascii="仿宋_GB2312" w:hAnsi="Times New Roman" w:eastAsia="仿宋_GB2312"/>
          <w:sz w:val="32"/>
          <w:szCs w:val="32"/>
        </w:rPr>
        <w:t>不断完善国资监管制度体系，以规章制度为抓手，加强企业规范运作，</w:t>
      </w:r>
      <w:r>
        <w:rPr>
          <w:rFonts w:ascii="仿宋_GB2312" w:hAnsi="Times New Roman" w:eastAsia="仿宋_GB2312"/>
          <w:sz w:val="32"/>
          <w:szCs w:val="32"/>
        </w:rPr>
        <w:t>2021</w:t>
      </w:r>
      <w:r>
        <w:rPr>
          <w:rFonts w:hint="eastAsia" w:ascii="仿宋_GB2312" w:hAnsi="Times New Roman" w:eastAsia="仿宋_GB2312"/>
          <w:sz w:val="32"/>
          <w:szCs w:val="32"/>
        </w:rPr>
        <w:t>年制定</w:t>
      </w:r>
      <w:r>
        <w:rPr>
          <w:rFonts w:ascii="仿宋_GB2312" w:hAnsi="Times New Roman" w:eastAsia="仿宋_GB2312"/>
          <w:sz w:val="32"/>
          <w:szCs w:val="32"/>
        </w:rPr>
        <w:t>14</w:t>
      </w:r>
      <w:r>
        <w:rPr>
          <w:rFonts w:hint="eastAsia" w:ascii="仿宋_GB2312" w:hAnsi="Times New Roman" w:eastAsia="仿宋_GB2312"/>
          <w:sz w:val="32"/>
          <w:szCs w:val="32"/>
        </w:rPr>
        <w:t>项管理制度。</w:t>
      </w:r>
      <w:r>
        <w:rPr>
          <w:rFonts w:hint="eastAsia" w:ascii="仿宋_GB2312" w:eastAsia="仿宋_GB2312"/>
          <w:sz w:val="32"/>
          <w:szCs w:val="32"/>
        </w:rPr>
        <w:t>修订</w:t>
      </w:r>
      <w:r>
        <w:rPr>
          <w:rFonts w:hint="eastAsia" w:ascii="仿宋_GB2312" w:hAnsi="Times New Roman" w:eastAsia="仿宋_GB2312"/>
          <w:sz w:val="32"/>
          <w:szCs w:val="32"/>
        </w:rPr>
        <w:t>监管权力和责任清单、</w:t>
      </w:r>
      <w:r>
        <w:rPr>
          <w:rFonts w:hint="eastAsia" w:ascii="仿宋_GB2312" w:eastAsia="仿宋_GB2312"/>
          <w:sz w:val="32"/>
          <w:szCs w:val="32"/>
        </w:rPr>
        <w:t>制定</w:t>
      </w:r>
      <w:r>
        <w:rPr>
          <w:rFonts w:hint="eastAsia" w:ascii="仿宋_GB2312" w:hAnsi="Times New Roman" w:eastAsia="仿宋_GB2312"/>
          <w:sz w:val="32"/>
          <w:szCs w:val="32"/>
        </w:rPr>
        <w:t>授权放权清单，坚持该放的坚决放权、决不越位，该管的切实管住、决不缺位，切实把监管重点转到管好资本布局、规范资本运作、提高资本回报、维护资本安全上来。</w:t>
      </w:r>
      <w:r>
        <w:rPr>
          <w:rFonts w:hint="eastAsia" w:ascii="仿宋_GB2312" w:eastAsia="仿宋_GB2312"/>
          <w:sz w:val="32"/>
          <w:szCs w:val="32"/>
        </w:rPr>
        <w:t>印发了区管国有企业“三会”议事规则</w:t>
      </w:r>
      <w:r>
        <w:rPr>
          <w:rFonts w:hint="eastAsia" w:ascii="仿宋_GB2312" w:hAnsi="Times New Roman" w:eastAsia="仿宋_GB2312"/>
          <w:kern w:val="0"/>
          <w:sz w:val="32"/>
          <w:szCs w:val="32"/>
        </w:rPr>
        <w:t>，区管企业委派总会计师管理办法，</w:t>
      </w:r>
      <w:r>
        <w:rPr>
          <w:rFonts w:hint="eastAsia" w:ascii="仿宋_GB2312" w:hAnsi="Times New Roman" w:eastAsia="仿宋_GB2312"/>
          <w:sz w:val="32"/>
          <w:szCs w:val="32"/>
        </w:rPr>
        <w:t>进一步厘清各治理主体权责边界和工作程序，强化企业的规范管理。</w:t>
      </w:r>
    </w:p>
    <w:p w14:paraId="03042D66">
      <w:pPr>
        <w:spacing w:line="588" w:lineRule="exact"/>
        <w:rPr>
          <w:rFonts w:ascii="仿宋_GB2312" w:hAnsi="Times New Roman" w:eastAsia="仿宋_GB2312"/>
          <w:sz w:val="32"/>
          <w:szCs w:val="32"/>
        </w:rPr>
      </w:pPr>
      <w:r>
        <w:rPr>
          <w:rFonts w:ascii="仿宋_GB2312" w:hAnsi="Times New Roman" w:eastAsia="仿宋_GB2312"/>
          <w:b/>
          <w:bCs/>
          <w:sz w:val="32"/>
          <w:szCs w:val="32"/>
        </w:rPr>
        <w:t xml:space="preserve">    </w:t>
      </w:r>
      <w:r>
        <w:rPr>
          <w:rFonts w:hint="eastAsia" w:ascii="仿宋_GB2312" w:hAnsi="Times New Roman" w:eastAsia="仿宋_GB2312"/>
          <w:b/>
          <w:bCs/>
          <w:sz w:val="32"/>
          <w:szCs w:val="32"/>
        </w:rPr>
        <w:t>二是加强国企运行监管，保障运营管理规范。</w:t>
      </w:r>
      <w:r>
        <w:rPr>
          <w:rFonts w:hint="eastAsia" w:ascii="仿宋_GB2312" w:eastAsia="仿宋_GB2312"/>
          <w:sz w:val="32"/>
          <w:szCs w:val="32"/>
        </w:rPr>
        <w:t>用足用好“互联网</w:t>
      </w:r>
      <w:r>
        <w:rPr>
          <w:rFonts w:ascii="仿宋_GB2312" w:eastAsia="仿宋_GB2312"/>
          <w:sz w:val="32"/>
          <w:szCs w:val="32"/>
        </w:rPr>
        <w:t>+</w:t>
      </w:r>
      <w:r>
        <w:rPr>
          <w:rFonts w:hint="eastAsia" w:ascii="仿宋_GB2312" w:eastAsia="仿宋_GB2312"/>
          <w:sz w:val="32"/>
          <w:szCs w:val="32"/>
        </w:rPr>
        <w:t>”监管模式，</w:t>
      </w:r>
      <w:r>
        <w:rPr>
          <w:rFonts w:hint="eastAsia" w:ascii="仿宋_GB2312" w:hAnsi="Times New Roman" w:eastAsia="仿宋_GB2312"/>
          <w:sz w:val="32"/>
          <w:szCs w:val="32"/>
        </w:rPr>
        <w:t>大力推进国资监管信息化建设，建成“智慧国资”在线监管系统，</w:t>
      </w:r>
      <w:r>
        <w:rPr>
          <w:rFonts w:hint="eastAsia" w:ascii="仿宋_GB2312" w:eastAsia="仿宋_GB2312"/>
          <w:sz w:val="32"/>
          <w:szCs w:val="32"/>
        </w:rPr>
        <w:t>平稳运行</w:t>
      </w:r>
      <w:r>
        <w:rPr>
          <w:rFonts w:ascii="仿宋_GB2312" w:hAnsi="Times New Roman" w:eastAsia="仿宋_GB2312"/>
          <w:sz w:val="32"/>
          <w:szCs w:val="32"/>
        </w:rPr>
        <w:t>6</w:t>
      </w:r>
      <w:r>
        <w:rPr>
          <w:rFonts w:hint="eastAsia" w:ascii="仿宋_GB2312" w:hAnsi="Times New Roman" w:eastAsia="仿宋_GB2312"/>
          <w:sz w:val="32"/>
          <w:szCs w:val="32"/>
        </w:rPr>
        <w:t>大模块，对区属企业“三重一大”、审计监督、财务运行、投资管理等方面内容的实时查询和快速分析，突出对国有资产体制改革、重大投资、债务风险等关键领域和重点环节的全程监督。产权管理稳固，牢牢把握“促流转、防流失”的工作定位，完成张家窝镇百维公司、大寺镇海达兴业公司等</w:t>
      </w:r>
      <w:r>
        <w:rPr>
          <w:rFonts w:ascii="仿宋_GB2312" w:hAnsi="Times New Roman" w:eastAsia="仿宋_GB2312"/>
          <w:sz w:val="32"/>
          <w:szCs w:val="32"/>
        </w:rPr>
        <w:t>6</w:t>
      </w:r>
      <w:r>
        <w:rPr>
          <w:rFonts w:hint="eastAsia" w:ascii="仿宋_GB2312" w:hAnsi="Times New Roman" w:eastAsia="仿宋_GB2312"/>
          <w:sz w:val="32"/>
          <w:szCs w:val="32"/>
        </w:rPr>
        <w:t>家企业无偿划转事项。组织开展西青区全面理顺国有企业出资人与产权管理关系专项工作，对全区国有企业进行全面清查，梳理历史原因，“一企一策”确定整改方案，制定时间表和路线图，</w:t>
      </w:r>
      <w:r>
        <w:rPr>
          <w:rFonts w:ascii="仿宋_GB2312" w:hAnsi="Times New Roman" w:eastAsia="仿宋_GB2312"/>
          <w:sz w:val="32"/>
          <w:szCs w:val="32"/>
        </w:rPr>
        <w:t>2021</w:t>
      </w:r>
      <w:r>
        <w:rPr>
          <w:rFonts w:hint="eastAsia" w:ascii="仿宋_GB2312" w:hAnsi="Times New Roman" w:eastAsia="仿宋_GB2312"/>
          <w:sz w:val="32"/>
          <w:szCs w:val="32"/>
        </w:rPr>
        <w:t>年完成</w:t>
      </w:r>
      <w:r>
        <w:rPr>
          <w:rFonts w:ascii="仿宋_GB2312" w:hAnsi="Times New Roman" w:eastAsia="仿宋_GB2312"/>
          <w:sz w:val="32"/>
          <w:szCs w:val="32"/>
        </w:rPr>
        <w:t>70%</w:t>
      </w:r>
      <w:r>
        <w:rPr>
          <w:rFonts w:hint="eastAsia" w:ascii="仿宋_GB2312" w:hAnsi="Times New Roman" w:eastAsia="仿宋_GB2312"/>
          <w:sz w:val="32"/>
          <w:szCs w:val="32"/>
        </w:rPr>
        <w:t>整改任务。</w:t>
      </w:r>
    </w:p>
    <w:p w14:paraId="213CBDBA">
      <w:pPr>
        <w:spacing w:line="588" w:lineRule="exact"/>
        <w:ind w:firstLine="680"/>
        <w:rPr>
          <w:rFonts w:ascii="仿宋_GB2312" w:hAnsi="Times New Roman" w:eastAsia="仿宋_GB2312"/>
          <w:sz w:val="32"/>
          <w:szCs w:val="32"/>
        </w:rPr>
      </w:pPr>
      <w:r>
        <w:rPr>
          <w:rFonts w:hint="eastAsia" w:ascii="仿宋_GB2312" w:hAnsi="Times New Roman" w:eastAsia="仿宋_GB2312"/>
          <w:b/>
          <w:bCs/>
          <w:sz w:val="32"/>
          <w:szCs w:val="32"/>
        </w:rPr>
        <w:t>三是强化国企风险防控，严防国有资产流失。</w:t>
      </w:r>
      <w:r>
        <w:rPr>
          <w:rFonts w:hint="eastAsia" w:ascii="仿宋_GB2312" w:hAnsi="Times New Roman" w:eastAsia="仿宋_GB2312"/>
          <w:sz w:val="32"/>
          <w:szCs w:val="32"/>
        </w:rPr>
        <w:t>债务风险隐患管控有力，出台实施《关于加强区国资委监管企业债务风险防控的指导意见》和《区国资委监管企业债务风险预警体系实施办法》，加强企业债务动态监测和分析，建立国企债务情况月报、季报、半年分析、年度总结工作机制，多措并举严格防范国企债务风险，牢牢守住了不发生系统性、区域性金融风险的底线。</w:t>
      </w:r>
      <w:r>
        <w:rPr>
          <w:rFonts w:ascii="仿宋_GB2312" w:hAnsi="Times New Roman" w:eastAsia="仿宋_GB2312"/>
          <w:sz w:val="32"/>
          <w:szCs w:val="32"/>
        </w:rPr>
        <w:t>2021</w:t>
      </w:r>
      <w:r>
        <w:rPr>
          <w:rFonts w:hint="eastAsia" w:ascii="仿宋_GB2312" w:hAnsi="Times New Roman" w:eastAsia="仿宋_GB2312"/>
          <w:sz w:val="32"/>
          <w:szCs w:val="32"/>
        </w:rPr>
        <w:t>年区属国企资产负债率</w:t>
      </w:r>
      <w:r>
        <w:rPr>
          <w:rFonts w:ascii="仿宋_GB2312" w:hAnsi="Times New Roman" w:eastAsia="仿宋_GB2312"/>
          <w:sz w:val="32"/>
          <w:szCs w:val="32"/>
        </w:rPr>
        <w:t>28.5%</w:t>
      </w:r>
      <w:r>
        <w:rPr>
          <w:rFonts w:hint="eastAsia" w:ascii="仿宋_GB2312" w:hAnsi="Times New Roman" w:eastAsia="仿宋_GB2312"/>
          <w:sz w:val="32"/>
          <w:szCs w:val="32"/>
        </w:rPr>
        <w:t>，远低于全国、全市水平。把控风险源头隐患，严格投资项目审批，</w:t>
      </w:r>
      <w:r>
        <w:rPr>
          <w:rFonts w:hint="eastAsia" w:ascii="仿宋_GB2312" w:eastAsia="仿宋_GB2312"/>
          <w:sz w:val="32"/>
          <w:szCs w:val="32"/>
        </w:rPr>
        <w:t>加强区管国有企业投资管理，</w:t>
      </w:r>
      <w:r>
        <w:rPr>
          <w:rFonts w:hint="eastAsia" w:ascii="仿宋_GB2312" w:hAnsi="Times New Roman" w:eastAsia="仿宋_GB2312"/>
          <w:sz w:val="32"/>
          <w:szCs w:val="32"/>
        </w:rPr>
        <w:t>确保企业</w:t>
      </w:r>
      <w:r>
        <w:rPr>
          <w:rFonts w:hint="eastAsia" w:ascii="仿宋_GB2312" w:eastAsia="仿宋_GB2312"/>
          <w:sz w:val="32"/>
          <w:szCs w:val="32"/>
        </w:rPr>
        <w:t>规范</w:t>
      </w:r>
      <w:r>
        <w:rPr>
          <w:rFonts w:hint="eastAsia" w:ascii="仿宋_GB2312" w:hAnsi="Times New Roman" w:eastAsia="仿宋_GB2312"/>
          <w:sz w:val="32"/>
          <w:szCs w:val="32"/>
        </w:rPr>
        <w:t>开展投资</w:t>
      </w:r>
      <w:r>
        <w:rPr>
          <w:rFonts w:hint="eastAsia" w:ascii="仿宋_GB2312" w:eastAsia="仿宋_GB2312"/>
          <w:sz w:val="32"/>
          <w:szCs w:val="32"/>
        </w:rPr>
        <w:t>活动。</w:t>
      </w:r>
      <w:r>
        <w:rPr>
          <w:rFonts w:hint="eastAsia" w:ascii="仿宋_GB2312" w:hAnsi="Times New Roman" w:eastAsia="仿宋_GB2312"/>
          <w:sz w:val="32"/>
          <w:szCs w:val="32"/>
        </w:rPr>
        <w:t>开展国有企业融资性贸易业务排查整治工作和整治国有企业财务会计信息虚假问题专项行动，重点查处整治资产、负债、收入、成本费用、利润虚假问题，督促、指导企业“边查边改、边查边建”，建立健全长效机制。</w:t>
      </w:r>
    </w:p>
    <w:p w14:paraId="5B483D4D">
      <w:pPr>
        <w:spacing w:line="588" w:lineRule="exact"/>
        <w:ind w:firstLine="680"/>
        <w:rPr>
          <w:rFonts w:ascii="楷体_GB2312" w:hAnsi="楷体" w:eastAsia="楷体_GB2312" w:cs="楷体"/>
          <w:sz w:val="32"/>
          <w:szCs w:val="32"/>
        </w:rPr>
      </w:pPr>
      <w:r>
        <w:rPr>
          <w:rFonts w:hint="eastAsia" w:ascii="楷体_GB2312" w:hAnsi="楷体" w:eastAsia="楷体_GB2312" w:cs="楷体"/>
          <w:sz w:val="32"/>
          <w:szCs w:val="32"/>
        </w:rPr>
        <w:t>（四）国有企业党的建设全面提升</w:t>
      </w:r>
    </w:p>
    <w:p w14:paraId="14FF5922">
      <w:pPr>
        <w:spacing w:line="588" w:lineRule="exact"/>
        <w:ind w:firstLine="680"/>
        <w:rPr>
          <w:rFonts w:ascii="仿宋_GB2312" w:hAnsi="Times New Roman" w:eastAsia="仿宋_GB2312"/>
          <w:sz w:val="32"/>
          <w:szCs w:val="32"/>
        </w:rPr>
      </w:pPr>
      <w:r>
        <w:rPr>
          <w:rFonts w:ascii="仿宋_GB2312" w:hAnsi="Times New Roman" w:eastAsia="仿宋_GB2312"/>
          <w:kern w:val="0"/>
          <w:sz w:val="32"/>
          <w:szCs w:val="32"/>
        </w:rPr>
        <w:t xml:space="preserve"> </w:t>
      </w:r>
      <w:r>
        <w:rPr>
          <w:rFonts w:hint="eastAsia" w:ascii="仿宋_GB2312" w:hAnsi="Times New Roman" w:eastAsia="仿宋_GB2312"/>
          <w:b/>
          <w:bCs/>
          <w:sz w:val="32"/>
          <w:szCs w:val="32"/>
        </w:rPr>
        <w:t>一是强化政治引领作用，提升党建工作实效。</w:t>
      </w:r>
      <w:r>
        <w:rPr>
          <w:rFonts w:hint="eastAsia" w:ascii="仿宋_GB2312" w:hAnsi="Times New Roman" w:eastAsia="仿宋_GB2312"/>
          <w:sz w:val="32"/>
          <w:szCs w:val="32"/>
        </w:rPr>
        <w:t>坚持把党的政治建设摆在首位，推进“第一议题”制度和国企党的领导融入公司治理工作机制，</w:t>
      </w:r>
      <w:r>
        <w:rPr>
          <w:rFonts w:ascii="仿宋_GB2312" w:hAnsi="Times New Roman" w:eastAsia="仿宋_GB2312"/>
          <w:sz w:val="32"/>
          <w:szCs w:val="32"/>
        </w:rPr>
        <w:t>2021</w:t>
      </w:r>
      <w:r>
        <w:rPr>
          <w:rFonts w:hint="eastAsia" w:ascii="仿宋_GB2312" w:hAnsi="Times New Roman" w:eastAsia="仿宋_GB2312"/>
          <w:sz w:val="32"/>
          <w:szCs w:val="32"/>
        </w:rPr>
        <w:t>年，国资委党委专题研究党建工作议题</w:t>
      </w:r>
      <w:r>
        <w:rPr>
          <w:rFonts w:ascii="仿宋_GB2312" w:hAnsi="Times New Roman" w:eastAsia="仿宋_GB2312"/>
          <w:sz w:val="32"/>
          <w:szCs w:val="32"/>
        </w:rPr>
        <w:t>43</w:t>
      </w:r>
      <w:r>
        <w:rPr>
          <w:rFonts w:hint="eastAsia" w:ascii="仿宋_GB2312" w:hAnsi="Times New Roman" w:eastAsia="仿宋_GB2312"/>
          <w:sz w:val="32"/>
          <w:szCs w:val="32"/>
        </w:rPr>
        <w:t>个，直管国企研究落实“第一议题”</w:t>
      </w:r>
      <w:r>
        <w:rPr>
          <w:rFonts w:ascii="仿宋_GB2312" w:hAnsi="Times New Roman" w:eastAsia="仿宋_GB2312"/>
          <w:sz w:val="32"/>
          <w:szCs w:val="32"/>
        </w:rPr>
        <w:t>47</w:t>
      </w:r>
      <w:r>
        <w:rPr>
          <w:rFonts w:hint="eastAsia" w:ascii="仿宋_GB2312" w:hAnsi="Times New Roman" w:eastAsia="仿宋_GB2312"/>
          <w:sz w:val="32"/>
          <w:szCs w:val="32"/>
        </w:rPr>
        <w:t>项，严格落实党组织前置议事规则不动摇。落实国有企业跟进督办制度，高质量完成对城投公司理论学习中心组列席工作，督促国企领导干部及时用党的创新理论武装头脑。深入开展</w:t>
      </w:r>
      <w:r>
        <w:rPr>
          <w:rFonts w:hint="eastAsia" w:ascii="仿宋_GB2312" w:hAnsi="Times New Roman" w:eastAsia="仿宋_GB2312"/>
          <w:sz w:val="32"/>
          <w:szCs w:val="32"/>
          <w:highlight w:val="none"/>
        </w:rPr>
        <w:t>党史学习教育</w:t>
      </w:r>
      <w:r>
        <w:rPr>
          <w:rFonts w:hint="eastAsia" w:ascii="仿宋_GB2312" w:hAnsi="Times New Roman" w:eastAsia="仿宋_GB2312"/>
          <w:sz w:val="32"/>
          <w:szCs w:val="32"/>
        </w:rPr>
        <w:t>，以“我为群众办实事”实践活动为抓手，组织国资系统高质量完成实事项目清单</w:t>
      </w:r>
      <w:r>
        <w:rPr>
          <w:rFonts w:ascii="仿宋_GB2312" w:hAnsi="Times New Roman" w:eastAsia="仿宋_GB2312"/>
          <w:sz w:val="32"/>
          <w:szCs w:val="32"/>
        </w:rPr>
        <w:t>31</w:t>
      </w:r>
      <w:r>
        <w:rPr>
          <w:rFonts w:hint="eastAsia" w:ascii="仿宋_GB2312" w:hAnsi="Times New Roman" w:eastAsia="仿宋_GB2312"/>
          <w:sz w:val="32"/>
          <w:szCs w:val="32"/>
        </w:rPr>
        <w:t>项，实现党建业务同频共振，融合互促。</w:t>
      </w:r>
    </w:p>
    <w:p w14:paraId="7B2739AB">
      <w:pPr>
        <w:tabs>
          <w:tab w:val="left" w:pos="4515"/>
          <w:tab w:val="left" w:pos="7980"/>
          <w:tab w:val="left" w:pos="8190"/>
        </w:tabs>
        <w:spacing w:line="588" w:lineRule="exact"/>
        <w:rPr>
          <w:rFonts w:ascii="仿宋_GB2312" w:hAnsi="Times New Roman" w:eastAsia="仿宋_GB2312"/>
          <w:sz w:val="32"/>
          <w:szCs w:val="32"/>
        </w:rPr>
      </w:pPr>
      <w:r>
        <w:rPr>
          <w:rFonts w:ascii="仿宋_GB2312" w:hAnsi="Times New Roman" w:eastAsia="仿宋_GB2312"/>
          <w:sz w:val="32"/>
          <w:szCs w:val="32"/>
        </w:rPr>
        <w:t xml:space="preserve">   </w:t>
      </w:r>
      <w:r>
        <w:rPr>
          <w:rFonts w:ascii="仿宋_GB2312" w:hAnsi="Times New Roman" w:eastAsia="仿宋_GB2312"/>
          <w:b/>
          <w:bCs/>
          <w:sz w:val="32"/>
          <w:szCs w:val="32"/>
        </w:rPr>
        <w:t xml:space="preserve"> </w:t>
      </w:r>
      <w:r>
        <w:rPr>
          <w:rFonts w:hint="eastAsia" w:ascii="仿宋_GB2312" w:hAnsi="Times New Roman" w:eastAsia="仿宋_GB2312"/>
          <w:b/>
          <w:bCs/>
          <w:sz w:val="32"/>
          <w:szCs w:val="32"/>
        </w:rPr>
        <w:t>二是夯实国企基层组织，激发队伍内生动力。</w:t>
      </w:r>
      <w:r>
        <w:rPr>
          <w:rFonts w:hint="eastAsia" w:ascii="仿宋_GB2312" w:hAnsi="Times New Roman" w:eastAsia="仿宋_GB2312"/>
          <w:sz w:val="32"/>
          <w:szCs w:val="32"/>
        </w:rPr>
        <w:t>持续打牢基层基础，实现基层党组织“应建尽建”；捋顺国有企业基层组织架构，指导城投公司根据党员变化及时建立党小组。进一步夯实企业党组织主体责任，对不具备条件成立党组织的企业重大决策事项，由出资人党组织提级研究决策。建强企业党员队伍，全年发展新党员</w:t>
      </w:r>
      <w:r>
        <w:rPr>
          <w:rFonts w:ascii="仿宋_GB2312" w:hAnsi="Times New Roman" w:eastAsia="仿宋_GB2312"/>
          <w:sz w:val="32"/>
          <w:szCs w:val="32"/>
        </w:rPr>
        <w:t>6</w:t>
      </w:r>
      <w:r>
        <w:rPr>
          <w:rFonts w:hint="eastAsia" w:ascii="仿宋_GB2312" w:hAnsi="Times New Roman" w:eastAsia="仿宋_GB2312"/>
          <w:sz w:val="32"/>
          <w:szCs w:val="32"/>
        </w:rPr>
        <w:t>名，全部从企业生产经营一线推荐。组织开展国企党建质量提升行动，国企基层党组织能力水平全面提升，城投公司党支部被授予“西青区先进基层党组织”荣誉称号。组织开展国资系统新时代基层干部培训，全面提升国有企业干部职工政治“三力”和推动高质量发展能力水平。</w:t>
      </w:r>
    </w:p>
    <w:p w14:paraId="62349012">
      <w:pPr>
        <w:widowControl/>
        <w:spacing w:line="588" w:lineRule="exact"/>
        <w:ind w:firstLine="680"/>
        <w:rPr>
          <w:rFonts w:ascii="仿宋_GB2312" w:hAnsi="Times New Roman" w:eastAsia="仿宋_GB2312"/>
          <w:sz w:val="32"/>
          <w:szCs w:val="32"/>
        </w:rPr>
      </w:pPr>
      <w:r>
        <w:rPr>
          <w:rFonts w:hint="eastAsia" w:ascii="仿宋_GB2312" w:hAnsi="Times New Roman" w:eastAsia="仿宋_GB2312"/>
          <w:b/>
          <w:sz w:val="32"/>
          <w:szCs w:val="32"/>
        </w:rPr>
        <w:t>三是加强党风廉政建设，筑牢廉洁自律防线。</w:t>
      </w:r>
      <w:r>
        <w:rPr>
          <w:rFonts w:hint="eastAsia" w:ascii="仿宋_GB2312" w:hAnsi="Times New Roman" w:eastAsia="仿宋_GB2312"/>
          <w:sz w:val="32"/>
          <w:szCs w:val="32"/>
        </w:rPr>
        <w:t>深化“四风”纠治作风建设，国资国企党风政风持续向好。严格落实形式主义官僚主义和不作为不担当问题专项治理，配合区纪委组织开展国有企业腐败问题专项整治、平台公司腐败问题专项整治等工作，加大“以案三促”力度，一体化推进反腐败和党风廉政体制机制建设。用好第一种形态，抓早抓小防范国资国企领域党风廉政建设方面重大风险隐患。</w:t>
      </w:r>
      <w:r>
        <w:rPr>
          <w:rFonts w:ascii="仿宋_GB2312" w:hAnsi="Times New Roman" w:eastAsia="仿宋_GB2312"/>
          <w:sz w:val="32"/>
          <w:szCs w:val="32"/>
        </w:rPr>
        <w:t>2021</w:t>
      </w:r>
      <w:r>
        <w:rPr>
          <w:rFonts w:hint="eastAsia" w:ascii="仿宋_GB2312" w:hAnsi="Times New Roman" w:eastAsia="仿宋_GB2312"/>
          <w:sz w:val="32"/>
          <w:szCs w:val="32"/>
        </w:rPr>
        <w:t>年全年，对区国资委机关干部和直管企业相关职工利用“第一种形态”问责</w:t>
      </w:r>
      <w:r>
        <w:rPr>
          <w:rFonts w:ascii="仿宋_GB2312" w:hAnsi="Times New Roman" w:eastAsia="仿宋_GB2312"/>
          <w:sz w:val="32"/>
          <w:szCs w:val="32"/>
        </w:rPr>
        <w:t>17</w:t>
      </w:r>
      <w:r>
        <w:rPr>
          <w:rFonts w:hint="eastAsia" w:ascii="仿宋_GB2312" w:hAnsi="Times New Roman" w:eastAsia="仿宋_GB2312"/>
          <w:sz w:val="32"/>
          <w:szCs w:val="32"/>
        </w:rPr>
        <w:t>人次。通过年内与企业共同努力，企业政治生态得到有效净化，防范风险和强化监管意识有效提升，支部引领、党员带动、职工联动的良好工作格局基本形成。</w:t>
      </w:r>
    </w:p>
    <w:p w14:paraId="2AF43562">
      <w:pPr>
        <w:pStyle w:val="2"/>
        <w:spacing w:line="588" w:lineRule="exact"/>
        <w:ind w:firstLine="640" w:firstLineChars="200"/>
        <w:rPr>
          <w:rFonts w:ascii="黑体" w:hAnsi="Times New Roman" w:eastAsia="黑体"/>
          <w:sz w:val="32"/>
          <w:szCs w:val="32"/>
        </w:rPr>
      </w:pPr>
      <w:r>
        <w:rPr>
          <w:rFonts w:hint="eastAsia" w:ascii="黑体" w:hAnsi="Times New Roman" w:eastAsia="黑体"/>
          <w:sz w:val="32"/>
          <w:szCs w:val="32"/>
        </w:rPr>
        <w:t>三、存在问题</w:t>
      </w:r>
    </w:p>
    <w:p w14:paraId="645B1408">
      <w:pPr>
        <w:widowControl/>
        <w:spacing w:line="588" w:lineRule="exact"/>
        <w:ind w:firstLine="680"/>
        <w:jc w:val="left"/>
        <w:rPr>
          <w:rFonts w:ascii="楷体_GB2312" w:hAnsi="Times New Roman" w:eastAsia="楷体_GB2312"/>
          <w:sz w:val="32"/>
          <w:szCs w:val="32"/>
        </w:rPr>
      </w:pPr>
      <w:r>
        <w:rPr>
          <w:rFonts w:hint="eastAsia" w:ascii="楷体_GB2312" w:hAnsi="楷体" w:eastAsia="楷体_GB2312" w:cs="楷体"/>
          <w:kern w:val="0"/>
          <w:sz w:val="32"/>
          <w:szCs w:val="32"/>
        </w:rPr>
        <w:t>（一）现代企业制度建设有待完善</w:t>
      </w:r>
    </w:p>
    <w:p w14:paraId="289F7CB9">
      <w:pPr>
        <w:spacing w:line="588" w:lineRule="exact"/>
        <w:ind w:firstLine="641"/>
        <w:rPr>
          <w:rFonts w:ascii="仿宋_GB2312" w:hAnsi="Times New Roman" w:eastAsia="仿宋_GB2312"/>
          <w:kern w:val="0"/>
          <w:sz w:val="32"/>
          <w:szCs w:val="32"/>
        </w:rPr>
      </w:pPr>
      <w:r>
        <w:rPr>
          <w:rFonts w:hint="eastAsia" w:ascii="仿宋_GB2312" w:eastAsia="仿宋_GB2312"/>
          <w:kern w:val="0"/>
          <w:sz w:val="32"/>
          <w:szCs w:val="32"/>
        </w:rPr>
        <w:t>法人治理结构尚不完善，个别企业人员力量不足，一级国有企业董事会中</w:t>
      </w:r>
      <w:r>
        <w:rPr>
          <w:rFonts w:hint="eastAsia" w:ascii="仿宋_GB2312" w:hAnsi="Times New Roman" w:eastAsia="仿宋_GB2312"/>
          <w:kern w:val="0"/>
          <w:sz w:val="32"/>
          <w:szCs w:val="32"/>
        </w:rPr>
        <w:t>外部董事占多数、委派总会计师尚未实现全覆盖。</w:t>
      </w:r>
    </w:p>
    <w:p w14:paraId="48C41F20">
      <w:pPr>
        <w:spacing w:line="588" w:lineRule="exact"/>
        <w:ind w:firstLine="640" w:firstLineChars="200"/>
        <w:jc w:val="left"/>
        <w:rPr>
          <w:rFonts w:ascii="楷体_GB2312" w:hAnsi="楷体" w:eastAsia="楷体_GB2312" w:cs="楷体"/>
          <w:kern w:val="0"/>
          <w:sz w:val="32"/>
          <w:szCs w:val="32"/>
        </w:rPr>
      </w:pPr>
      <w:r>
        <w:rPr>
          <w:rFonts w:hint="eastAsia" w:ascii="楷体_GB2312" w:hAnsi="楷体" w:eastAsia="楷体_GB2312" w:cs="楷体"/>
          <w:kern w:val="0"/>
          <w:sz w:val="32"/>
          <w:szCs w:val="32"/>
        </w:rPr>
        <w:t>（二）国企盈利能力有待提升</w:t>
      </w:r>
    </w:p>
    <w:p w14:paraId="3AA6B3AF">
      <w:pPr>
        <w:spacing w:line="588" w:lineRule="exact"/>
        <w:ind w:firstLine="641"/>
        <w:rPr>
          <w:rFonts w:ascii="仿宋_GB2312" w:hAnsi="Times New Roman" w:eastAsia="仿宋_GB2312" w:cs="方正仿宋简体"/>
          <w:sz w:val="32"/>
          <w:szCs w:val="32"/>
        </w:rPr>
      </w:pP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我区</w:t>
      </w:r>
      <w:r>
        <w:rPr>
          <w:rFonts w:ascii="仿宋_GB2312" w:hAnsi="Times New Roman" w:eastAsia="仿宋_GB2312"/>
          <w:kern w:val="0"/>
          <w:sz w:val="32"/>
          <w:szCs w:val="32"/>
        </w:rPr>
        <w:t>80.6%</w:t>
      </w:r>
      <w:r>
        <w:rPr>
          <w:rFonts w:hint="eastAsia" w:ascii="仿宋_GB2312" w:hAnsi="Times New Roman" w:eastAsia="仿宋_GB2312"/>
          <w:kern w:val="0"/>
          <w:sz w:val="32"/>
          <w:szCs w:val="32"/>
        </w:rPr>
        <w:t>的国有企业为功能性企业，因企业功能定位、体制机制等原因，普遍存在市场化程度低，竞争力不强的状况。</w:t>
      </w:r>
      <w:r>
        <w:rPr>
          <w:rFonts w:ascii="仿宋_GB2312" w:hAnsi="Times New Roman" w:eastAsia="仿宋_GB2312"/>
          <w:kern w:val="0"/>
          <w:sz w:val="32"/>
          <w:szCs w:val="32"/>
        </w:rPr>
        <w:t>12</w:t>
      </w:r>
      <w:r>
        <w:rPr>
          <w:rFonts w:hint="eastAsia" w:ascii="仿宋_GB2312" w:hAnsi="Times New Roman" w:eastAsia="仿宋_GB2312"/>
          <w:kern w:val="0"/>
          <w:sz w:val="32"/>
          <w:szCs w:val="32"/>
        </w:rPr>
        <w:t>家经营性国有企业营业成本偏高，利润总额偏低，企业经营质量和盈利能力待提升。</w:t>
      </w:r>
    </w:p>
    <w:p w14:paraId="597F8208">
      <w:pPr>
        <w:pStyle w:val="8"/>
        <w:widowControl w:val="0"/>
        <w:shd w:val="clear" w:color="auto" w:fill="FFFFFF"/>
        <w:spacing w:line="588" w:lineRule="exact"/>
        <w:ind w:firstLine="640" w:firstLineChars="200"/>
        <w:jc w:val="both"/>
        <w:rPr>
          <w:rFonts w:ascii="黑体" w:hAnsi="Times New Roman" w:eastAsia="黑体" w:cs="Times New Roman"/>
          <w:sz w:val="32"/>
          <w:szCs w:val="32"/>
        </w:rPr>
      </w:pPr>
      <w:r>
        <w:rPr>
          <w:rFonts w:hint="eastAsia" w:ascii="黑体" w:hAnsi="Times New Roman" w:eastAsia="黑体" w:cs="Times New Roman"/>
          <w:sz w:val="32"/>
          <w:szCs w:val="32"/>
        </w:rPr>
        <w:t>四、下一步改进措施和建议</w:t>
      </w:r>
    </w:p>
    <w:p w14:paraId="150D680B">
      <w:pPr>
        <w:spacing w:line="588" w:lineRule="exact"/>
        <w:ind w:firstLine="640" w:firstLineChars="200"/>
        <w:jc w:val="left"/>
        <w:rPr>
          <w:rFonts w:ascii="楷体_GB2312" w:hAnsi="楷体" w:eastAsia="楷体_GB2312" w:cs="楷体"/>
          <w:kern w:val="0"/>
          <w:sz w:val="32"/>
          <w:szCs w:val="32"/>
        </w:rPr>
      </w:pPr>
      <w:r>
        <w:rPr>
          <w:rFonts w:hint="eastAsia" w:ascii="楷体_GB2312" w:hAnsi="楷体" w:eastAsia="楷体_GB2312" w:cs="楷体"/>
          <w:kern w:val="0"/>
          <w:sz w:val="32"/>
          <w:szCs w:val="32"/>
        </w:rPr>
        <w:t>（一）完善结构促改革</w:t>
      </w:r>
    </w:p>
    <w:p w14:paraId="172B20DF">
      <w:pPr>
        <w:pStyle w:val="2"/>
        <w:spacing w:line="588"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以规范董事会建设为核心，完善公司法人治理结构。全面梳理区管企业董事会专业结构，调整企业内部董事结构，按照“一企一策”“人岗相适”原则，为企业选齐配强兼职外部董事，逐步实现外部董事占多数。全面推行委派总会计师制度，为区管企业选聘委派总会计师，充分发挥总会计师作用，完善企业内部监督体系。</w:t>
      </w:r>
    </w:p>
    <w:p w14:paraId="45F72114">
      <w:pPr>
        <w:pStyle w:val="2"/>
        <w:spacing w:line="588" w:lineRule="exact"/>
        <w:ind w:firstLine="640" w:firstLineChars="200"/>
        <w:jc w:val="left"/>
        <w:rPr>
          <w:rFonts w:ascii="楷体_GB2312" w:hAnsi="楷体" w:eastAsia="楷体_GB2312" w:cs="楷体"/>
          <w:kern w:val="0"/>
          <w:sz w:val="32"/>
          <w:szCs w:val="32"/>
        </w:rPr>
      </w:pPr>
      <w:r>
        <w:rPr>
          <w:rFonts w:hint="eastAsia" w:ascii="楷体_GB2312" w:hAnsi="楷体" w:eastAsia="楷体_GB2312" w:cs="楷体"/>
          <w:kern w:val="0"/>
          <w:sz w:val="32"/>
          <w:szCs w:val="32"/>
        </w:rPr>
        <w:t>（二）规范经营提效益</w:t>
      </w:r>
    </w:p>
    <w:p w14:paraId="02A9B446">
      <w:pPr>
        <w:pStyle w:val="2"/>
        <w:spacing w:line="588"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以提高企业经济效益为主，规范企业经营管理。督促企业不断完善管理制度，加强项目成本测算和费用管理，强化成本管控，促进降本增效。进一步加大国有企业经济效益提升的激励力度，充分调动经营者的积极性和创造性，激发企业活力。</w:t>
      </w:r>
    </w:p>
    <w:p w14:paraId="3EBAFABA">
      <w:pPr>
        <w:widowControl/>
        <w:spacing w:line="588" w:lineRule="exact"/>
        <w:jc w:val="left"/>
        <w:rPr>
          <w:rStyle w:val="11"/>
          <w:rFonts w:ascii="黑体" w:hAnsi="微软雅黑" w:eastAsia="黑体"/>
          <w:b w:val="0"/>
          <w:sz w:val="32"/>
          <w:szCs w:val="32"/>
        </w:rPr>
      </w:pPr>
      <w:r>
        <w:rPr>
          <w:rFonts w:ascii="仿宋_GB2312" w:hAnsi="Times New Roman" w:eastAsia="仿宋_GB2312"/>
          <w:sz w:val="32"/>
          <w:szCs w:val="32"/>
        </w:rPr>
        <w:t xml:space="preserve">   </w:t>
      </w:r>
      <w:r>
        <w:rPr>
          <w:rFonts w:ascii="黑体" w:hAnsi="Times New Roman" w:eastAsia="黑体"/>
          <w:sz w:val="32"/>
          <w:szCs w:val="32"/>
        </w:rPr>
        <w:t xml:space="preserve"> </w:t>
      </w:r>
      <w:r>
        <w:rPr>
          <w:rStyle w:val="11"/>
          <w:rFonts w:hint="eastAsia" w:ascii="黑体" w:hAnsi="黑体" w:eastAsia="黑体"/>
          <w:b w:val="0"/>
          <w:sz w:val="32"/>
          <w:szCs w:val="32"/>
        </w:rPr>
        <w:t>五、</w:t>
      </w:r>
      <w:r>
        <w:rPr>
          <w:rStyle w:val="11"/>
          <w:rFonts w:ascii="黑体" w:hAnsi="Times New Roman" w:eastAsia="黑体"/>
          <w:b w:val="0"/>
          <w:sz w:val="32"/>
          <w:szCs w:val="32"/>
        </w:rPr>
        <w:t>2020</w:t>
      </w:r>
      <w:r>
        <w:rPr>
          <w:rStyle w:val="11"/>
          <w:rFonts w:hint="eastAsia" w:ascii="黑体" w:hAnsi="黑体" w:eastAsia="黑体"/>
          <w:b w:val="0"/>
          <w:sz w:val="32"/>
          <w:szCs w:val="32"/>
        </w:rPr>
        <w:t>年度审议意见整改落实情况</w:t>
      </w:r>
      <w:r>
        <w:rPr>
          <w:rStyle w:val="11"/>
          <w:rFonts w:ascii="微软雅黑" w:hAnsi="微软雅黑" w:eastAsia="黑体"/>
          <w:b w:val="0"/>
          <w:sz w:val="32"/>
          <w:szCs w:val="32"/>
        </w:rPr>
        <w:t>  </w:t>
      </w:r>
    </w:p>
    <w:p w14:paraId="581EA19D">
      <w:pPr>
        <w:widowControl/>
        <w:spacing w:line="588" w:lineRule="exact"/>
        <w:ind w:firstLine="640"/>
        <w:jc w:val="left"/>
        <w:rPr>
          <w:rFonts w:ascii="仿宋_GB2312" w:hAnsi="Times New Roman" w:eastAsia="仿宋_GB2312"/>
          <w:kern w:val="0"/>
          <w:sz w:val="32"/>
          <w:szCs w:val="32"/>
        </w:rPr>
      </w:pPr>
      <w:r>
        <w:rPr>
          <w:rFonts w:hint="eastAsia" w:ascii="仿宋_GB2312" w:hAnsi="Times New Roman" w:eastAsia="仿宋_GB2312"/>
          <w:sz w:val="32"/>
          <w:szCs w:val="32"/>
        </w:rPr>
        <w:t>积极落实区人大常委会审议《天津市西青区人民政府关于</w:t>
      </w:r>
      <w:r>
        <w:rPr>
          <w:rFonts w:ascii="仿宋_GB2312" w:hAnsi="Times New Roman" w:eastAsia="仿宋_GB2312"/>
          <w:sz w:val="32"/>
          <w:szCs w:val="32"/>
        </w:rPr>
        <w:t>2020</w:t>
      </w:r>
      <w:r>
        <w:rPr>
          <w:rFonts w:hint="eastAsia" w:ascii="仿宋_GB2312" w:hAnsi="Times New Roman" w:eastAsia="仿宋_GB2312"/>
          <w:sz w:val="32"/>
          <w:szCs w:val="32"/>
        </w:rPr>
        <w:t>年度企业国有资产管理情况的报告》提出的意见。一是健全完善现代企业管理制度，优化董事会结构，为区管</w:t>
      </w:r>
      <w:r>
        <w:rPr>
          <w:rFonts w:hint="eastAsia" w:ascii="仿宋_GB2312" w:hAnsi="Times New Roman" w:eastAsia="仿宋_GB2312"/>
          <w:kern w:val="0"/>
          <w:sz w:val="32"/>
          <w:szCs w:val="32"/>
        </w:rPr>
        <w:t>企业</w:t>
      </w:r>
      <w:r>
        <w:rPr>
          <w:rFonts w:hint="eastAsia" w:ascii="仿宋_GB2312" w:hAnsi="Times New Roman" w:eastAsia="仿宋_GB2312"/>
          <w:sz w:val="32"/>
          <w:szCs w:val="32"/>
        </w:rPr>
        <w:t>择优选聘</w:t>
      </w:r>
      <w:r>
        <w:rPr>
          <w:rFonts w:ascii="仿宋_GB2312" w:hAnsi="Times New Roman" w:eastAsia="仿宋_GB2312"/>
          <w:sz w:val="32"/>
          <w:szCs w:val="32"/>
        </w:rPr>
        <w:t>6</w:t>
      </w:r>
      <w:r>
        <w:rPr>
          <w:rFonts w:hint="eastAsia" w:ascii="仿宋_GB2312" w:hAnsi="Times New Roman" w:eastAsia="仿宋_GB2312"/>
          <w:sz w:val="32"/>
          <w:szCs w:val="32"/>
        </w:rPr>
        <w:t>名兼职外部董事，提升董事会决策的科学性。切实保障经理层依法行权履职，推动区管一级企业全部建立董事会向经理授权机制，制定授权管理办法。优化考核激励机制，重新修订区管国企考核管理办法，</w:t>
      </w:r>
      <w:r>
        <w:rPr>
          <w:rFonts w:hint="eastAsia" w:ascii="仿宋_GB2312" w:hAnsi="Times New Roman" w:eastAsia="仿宋_GB2312"/>
          <w:kern w:val="0"/>
          <w:sz w:val="32"/>
          <w:szCs w:val="32"/>
        </w:rPr>
        <w:t>对国企领导人员实行与选任方式相匹配、与企业功能性质相适应、与经营业绩相挂钩的差异化业绩考核，充分调动人才的积极性。二是优化以管资本为主的国资监管体系，重新修订监管权责清单，</w:t>
      </w:r>
      <w:r>
        <w:rPr>
          <w:rFonts w:hint="eastAsia" w:ascii="仿宋_GB2312" w:hAnsi="Times New Roman" w:eastAsia="仿宋_GB2312"/>
          <w:sz w:val="32"/>
          <w:szCs w:val="32"/>
        </w:rPr>
        <w:t>以权责清单为基础，全面实行清单管理，</w:t>
      </w:r>
      <w:r>
        <w:rPr>
          <w:rFonts w:hint="eastAsia" w:ascii="仿宋_GB2312" w:hAnsi="Times New Roman" w:eastAsia="仿宋_GB2312"/>
          <w:kern w:val="0"/>
          <w:sz w:val="32"/>
          <w:szCs w:val="32"/>
        </w:rPr>
        <w:t>厘清职责边界。</w:t>
      </w:r>
      <w:r>
        <w:rPr>
          <w:rFonts w:hint="eastAsia" w:ascii="仿宋_GB2312" w:hAnsi="Times New Roman" w:eastAsia="仿宋_GB2312"/>
          <w:sz w:val="32"/>
          <w:szCs w:val="32"/>
        </w:rPr>
        <w:t>坚持该放的坚决放权、决不越位，该管的切实管住、决不缺位，</w:t>
      </w:r>
      <w:r>
        <w:rPr>
          <w:rFonts w:hint="eastAsia" w:ascii="仿宋_GB2312" w:hAnsi="Times New Roman" w:eastAsia="仿宋_GB2312"/>
          <w:kern w:val="0"/>
          <w:sz w:val="32"/>
          <w:szCs w:val="32"/>
        </w:rPr>
        <w:t>不断加强国有企业债务风险管控，防范投资风险。</w:t>
      </w:r>
    </w:p>
    <w:p w14:paraId="76DCF0FE">
      <w:pPr>
        <w:pStyle w:val="3"/>
        <w:spacing w:line="588" w:lineRule="exact"/>
        <w:ind w:firstLine="680"/>
        <w:rPr>
          <w:rFonts w:ascii="黑体" w:hAnsi="Times New Roman" w:eastAsia="黑体"/>
          <w:szCs w:val="32"/>
        </w:rPr>
      </w:pPr>
      <w:r>
        <w:rPr>
          <w:rFonts w:hint="eastAsia" w:ascii="黑体" w:hAnsi="黑体" w:eastAsia="黑体" w:cs="黑体"/>
          <w:kern w:val="0"/>
          <w:szCs w:val="32"/>
        </w:rPr>
        <w:t>六、五年以来企业国有资产情况</w:t>
      </w:r>
    </w:p>
    <w:p w14:paraId="2A76DE1D">
      <w:pPr>
        <w:pStyle w:val="2"/>
        <w:spacing w:line="588" w:lineRule="exact"/>
        <w:ind w:firstLine="640" w:firstLineChars="200"/>
        <w:jc w:val="left"/>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以来，是我区国资国企发展进程中极为不易的五年，也是国资国企改革发展成效凸显的五年，围绕深化国资国企改革这根主线，取得了一系列改革成果，增强了我区国有企业发展的后劲和活力，为区域经济社会发展做出了新的贡献。</w:t>
      </w:r>
    </w:p>
    <w:p w14:paraId="2D85917B">
      <w:pPr>
        <w:widowControl/>
        <w:spacing w:line="588" w:lineRule="exact"/>
        <w:ind w:firstLine="481"/>
        <w:rPr>
          <w:rFonts w:ascii="楷体_GB2312" w:hAnsi="楷体" w:eastAsia="楷体_GB2312" w:cs="楷体"/>
          <w:kern w:val="0"/>
          <w:sz w:val="32"/>
          <w:szCs w:val="32"/>
        </w:rPr>
      </w:pPr>
      <w:r>
        <w:rPr>
          <w:rFonts w:hint="eastAsia" w:ascii="楷体_GB2312" w:hAnsi="楷体" w:eastAsia="楷体_GB2312" w:cs="楷体"/>
          <w:kern w:val="0"/>
          <w:sz w:val="32"/>
          <w:szCs w:val="32"/>
        </w:rPr>
        <w:t>（一）国有经济实力大幅提升</w:t>
      </w:r>
    </w:p>
    <w:p w14:paraId="67C44017">
      <w:pPr>
        <w:spacing w:line="588" w:lineRule="exac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国有经济持续健康发展，企业主要经济指标均稳中向好。按照可比口径，区属国有企业</w:t>
      </w:r>
      <w:r>
        <w:rPr>
          <w:rFonts w:ascii="仿宋_GB2312" w:hAnsi="Times New Roman" w:eastAsia="仿宋_GB2312"/>
          <w:sz w:val="32"/>
          <w:szCs w:val="32"/>
        </w:rPr>
        <w:t>2021</w:t>
      </w:r>
      <w:r>
        <w:rPr>
          <w:rFonts w:hint="eastAsia" w:ascii="仿宋_GB2312" w:hAnsi="Times New Roman" w:eastAsia="仿宋_GB2312"/>
          <w:sz w:val="32"/>
          <w:szCs w:val="32"/>
        </w:rPr>
        <w:t>年资产总额、所有者权益、营业总收入较</w:t>
      </w:r>
      <w:r>
        <w:rPr>
          <w:rFonts w:ascii="仿宋_GB2312" w:hAnsi="Times New Roman" w:eastAsia="仿宋_GB2312"/>
          <w:sz w:val="32"/>
          <w:szCs w:val="32"/>
        </w:rPr>
        <w:t>2017</w:t>
      </w:r>
      <w:r>
        <w:rPr>
          <w:rFonts w:hint="eastAsia" w:ascii="仿宋_GB2312" w:hAnsi="Times New Roman" w:eastAsia="仿宋_GB2312"/>
          <w:sz w:val="32"/>
          <w:szCs w:val="32"/>
        </w:rPr>
        <w:t>年分别增长约</w:t>
      </w:r>
      <w:r>
        <w:rPr>
          <w:rFonts w:ascii="仿宋_GB2312" w:hAnsi="Times New Roman" w:eastAsia="仿宋_GB2312"/>
          <w:sz w:val="32"/>
          <w:szCs w:val="32"/>
        </w:rPr>
        <w:t>38.51</w:t>
      </w:r>
      <w:r>
        <w:rPr>
          <w:rFonts w:hint="eastAsia" w:ascii="仿宋_GB2312" w:hAnsi="Times New Roman" w:eastAsia="仿宋_GB2312"/>
          <w:sz w:val="32"/>
          <w:szCs w:val="32"/>
        </w:rPr>
        <w:t>亿元、</w:t>
      </w:r>
      <w:r>
        <w:rPr>
          <w:rFonts w:ascii="仿宋_GB2312" w:hAnsi="Times New Roman" w:eastAsia="仿宋_GB2312"/>
          <w:sz w:val="32"/>
          <w:szCs w:val="32"/>
        </w:rPr>
        <w:t>72.92</w:t>
      </w:r>
      <w:r>
        <w:rPr>
          <w:rFonts w:hint="eastAsia" w:ascii="仿宋_GB2312" w:hAnsi="Times New Roman" w:eastAsia="仿宋_GB2312"/>
          <w:sz w:val="32"/>
          <w:szCs w:val="32"/>
        </w:rPr>
        <w:t>亿元、</w:t>
      </w:r>
      <w:r>
        <w:rPr>
          <w:rFonts w:ascii="仿宋_GB2312" w:hAnsi="Times New Roman" w:eastAsia="仿宋_GB2312"/>
          <w:sz w:val="32"/>
          <w:szCs w:val="32"/>
        </w:rPr>
        <w:t>7.17</w:t>
      </w:r>
      <w:r>
        <w:rPr>
          <w:rFonts w:hint="eastAsia" w:ascii="仿宋_GB2312" w:hAnsi="Times New Roman" w:eastAsia="仿宋_GB2312"/>
          <w:sz w:val="32"/>
          <w:szCs w:val="32"/>
        </w:rPr>
        <w:t>亿元。截至</w:t>
      </w:r>
      <w:r>
        <w:rPr>
          <w:rFonts w:ascii="仿宋_GB2312" w:hAnsi="Times New Roman" w:eastAsia="仿宋_GB2312"/>
          <w:sz w:val="32"/>
          <w:szCs w:val="32"/>
        </w:rPr>
        <w:t>2021</w:t>
      </w:r>
      <w:r>
        <w:rPr>
          <w:rFonts w:hint="eastAsia" w:ascii="仿宋_GB2312" w:hAnsi="Times New Roman" w:eastAsia="仿宋_GB2312"/>
          <w:sz w:val="32"/>
          <w:szCs w:val="32"/>
        </w:rPr>
        <w:t>年底，资产过亿国有企业达</w:t>
      </w:r>
      <w:r>
        <w:rPr>
          <w:rFonts w:ascii="仿宋_GB2312" w:hAnsi="Times New Roman" w:eastAsia="仿宋_GB2312"/>
          <w:sz w:val="32"/>
          <w:szCs w:val="32"/>
        </w:rPr>
        <w:t>23</w:t>
      </w:r>
      <w:r>
        <w:rPr>
          <w:rFonts w:hint="eastAsia" w:ascii="仿宋_GB2312" w:hAnsi="Times New Roman" w:eastAsia="仿宋_GB2312"/>
          <w:sz w:val="32"/>
          <w:szCs w:val="32"/>
        </w:rPr>
        <w:t>户，其中，区城投公司、经开集团资产规模超过百亿元。</w:t>
      </w:r>
    </w:p>
    <w:p w14:paraId="1349341B">
      <w:pPr>
        <w:spacing w:line="588" w:lineRule="exact"/>
        <w:ind w:firstLine="640"/>
        <w:rPr>
          <w:rFonts w:ascii="楷体_GB2312" w:hAnsi="楷体" w:eastAsia="楷体_GB2312" w:cs="楷体"/>
          <w:kern w:val="0"/>
          <w:sz w:val="32"/>
          <w:szCs w:val="32"/>
        </w:rPr>
      </w:pPr>
      <w:r>
        <w:rPr>
          <w:rFonts w:hint="eastAsia" w:ascii="楷体_GB2312" w:hAnsi="楷体" w:eastAsia="楷体_GB2312" w:cs="楷体"/>
          <w:kern w:val="0"/>
          <w:sz w:val="32"/>
          <w:szCs w:val="32"/>
        </w:rPr>
        <w:t>（二）国资布局结构显著优化</w:t>
      </w:r>
    </w:p>
    <w:p w14:paraId="706479C8">
      <w:pPr>
        <w:spacing w:line="588" w:lineRule="exac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立足我区实际，通过实施国有企业重组整合，不断优化国有经济布局，累计减少法人单位</w:t>
      </w:r>
      <w:r>
        <w:rPr>
          <w:rFonts w:ascii="仿宋_GB2312" w:hAnsi="Times New Roman" w:eastAsia="仿宋_GB2312"/>
          <w:sz w:val="32"/>
          <w:szCs w:val="32"/>
        </w:rPr>
        <w:t>110</w:t>
      </w:r>
      <w:r>
        <w:rPr>
          <w:rFonts w:hint="eastAsia" w:ascii="仿宋_GB2312" w:hAnsi="Times New Roman" w:eastAsia="仿宋_GB2312"/>
          <w:sz w:val="32"/>
          <w:szCs w:val="32"/>
        </w:rPr>
        <w:t>户，形成了“</w:t>
      </w:r>
      <w:r>
        <w:rPr>
          <w:rFonts w:ascii="仿宋_GB2312" w:hAnsi="Times New Roman" w:eastAsia="仿宋_GB2312"/>
          <w:sz w:val="32"/>
          <w:szCs w:val="32"/>
        </w:rPr>
        <w:t>3+1+1</w:t>
      </w:r>
      <w:r>
        <w:rPr>
          <w:rFonts w:hint="eastAsia" w:ascii="仿宋_GB2312" w:hAnsi="Times New Roman" w:eastAsia="仿宋_GB2312"/>
          <w:sz w:val="32"/>
          <w:szCs w:val="32"/>
        </w:rPr>
        <w:t>”国有资本布局结构。</w:t>
      </w:r>
      <w:r>
        <w:rPr>
          <w:rFonts w:ascii="仿宋_GB2312" w:hAnsi="Times New Roman" w:eastAsia="仿宋_GB2312"/>
          <w:sz w:val="32"/>
          <w:szCs w:val="32"/>
        </w:rPr>
        <w:t>5</w:t>
      </w:r>
      <w:r>
        <w:rPr>
          <w:rFonts w:hint="eastAsia" w:ascii="仿宋_GB2312" w:hAnsi="Times New Roman" w:eastAsia="仿宋_GB2312"/>
          <w:sz w:val="32"/>
          <w:szCs w:val="32"/>
        </w:rPr>
        <w:t>家区管企业在园区运营、基础设施、投资运营、资产管理等领域的功能作用和引领作用持续放大。区城投公司参与建设重点工程和民心工程</w:t>
      </w:r>
      <w:r>
        <w:rPr>
          <w:rFonts w:ascii="仿宋_GB2312" w:hAnsi="Times New Roman" w:eastAsia="仿宋_GB2312"/>
          <w:sz w:val="32"/>
          <w:szCs w:val="32"/>
        </w:rPr>
        <w:t>20</w:t>
      </w:r>
      <w:r>
        <w:rPr>
          <w:rFonts w:hint="eastAsia" w:ascii="仿宋_GB2312" w:hAnsi="Times New Roman" w:eastAsia="仿宋_GB2312"/>
          <w:sz w:val="32"/>
          <w:szCs w:val="32"/>
        </w:rPr>
        <w:t>个，完成中医院、体育公园、档案馆等一批基础设施建设；经开集团累计引进项目</w:t>
      </w:r>
      <w:r>
        <w:rPr>
          <w:rFonts w:ascii="仿宋_GB2312" w:hAnsi="Times New Roman" w:eastAsia="仿宋_GB2312"/>
          <w:sz w:val="32"/>
          <w:szCs w:val="32"/>
        </w:rPr>
        <w:t>2000</w:t>
      </w:r>
      <w:r>
        <w:rPr>
          <w:rFonts w:hint="eastAsia" w:ascii="仿宋_GB2312" w:hAnsi="Times New Roman" w:eastAsia="仿宋_GB2312"/>
          <w:sz w:val="32"/>
          <w:szCs w:val="32"/>
        </w:rPr>
        <w:t>余个，覆盖德国、丹麦、日本、韩国等</w:t>
      </w:r>
      <w:r>
        <w:rPr>
          <w:rFonts w:ascii="仿宋_GB2312" w:hAnsi="Times New Roman" w:eastAsia="仿宋_GB2312"/>
          <w:sz w:val="32"/>
          <w:szCs w:val="32"/>
        </w:rPr>
        <w:t>38</w:t>
      </w:r>
      <w:r>
        <w:rPr>
          <w:rFonts w:hint="eastAsia" w:ascii="仿宋_GB2312" w:hAnsi="Times New Roman" w:eastAsia="仿宋_GB2312"/>
          <w:sz w:val="32"/>
          <w:szCs w:val="32"/>
        </w:rPr>
        <w:t>个国家；永泰恒基公司以项目带动资本混合，打造西青人工智能产业园和国家级车联网先导区产业园；南站商务公司统筹南站科技商务区建设、招商，成功引进杉杉奥特莱斯高端商业综合体项目；环城融泰公司承接国企改制历史遗留问题，有效盘活存量资产，保障职工权益和国有资产安全。</w:t>
      </w:r>
    </w:p>
    <w:p w14:paraId="374F050C">
      <w:pPr>
        <w:spacing w:line="588" w:lineRule="exact"/>
        <w:rPr>
          <w:rFonts w:ascii="楷体_GB2312" w:hAnsi="楷体" w:eastAsia="楷体_GB2312" w:cs="楷体"/>
          <w:kern w:val="0"/>
          <w:sz w:val="32"/>
          <w:szCs w:val="32"/>
        </w:rPr>
      </w:pPr>
      <w:r>
        <w:rPr>
          <w:rFonts w:ascii="楷体_GB2312" w:hAnsi="楷体" w:eastAsia="楷体_GB2312" w:cs="楷体"/>
          <w:kern w:val="0"/>
          <w:sz w:val="32"/>
          <w:szCs w:val="32"/>
        </w:rPr>
        <w:t xml:space="preserve">   </w:t>
      </w:r>
      <w:r>
        <w:rPr>
          <w:rFonts w:hint="eastAsia" w:ascii="楷体_GB2312" w:hAnsi="楷体" w:eastAsia="楷体_GB2312" w:cs="楷体"/>
          <w:kern w:val="0"/>
          <w:sz w:val="32"/>
          <w:szCs w:val="32"/>
        </w:rPr>
        <w:t>（三）国资监管效能强劲有力</w:t>
      </w:r>
    </w:p>
    <w:p w14:paraId="5B25CDBD">
      <w:pPr>
        <w:widowControl/>
        <w:spacing w:line="588" w:lineRule="exact"/>
        <w:rPr>
          <w:rFonts w:ascii="仿宋_GB2312" w:hAnsi="Times New Roman" w:eastAsia="仿宋_GB2312"/>
          <w:sz w:val="32"/>
          <w:szCs w:val="32"/>
        </w:rPr>
      </w:pPr>
      <w:r>
        <w:rPr>
          <w:rFonts w:ascii="仿宋_GB2312"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健全监管制度，累计制定多项国企监管制度，覆盖企业投资管理、产权管理、资产管理等各方面，</w:t>
      </w:r>
      <w:r>
        <w:rPr>
          <w:rFonts w:ascii="仿宋_GB2312" w:hAnsi="Times New Roman" w:eastAsia="仿宋_GB2312"/>
          <w:sz w:val="32"/>
          <w:szCs w:val="32"/>
        </w:rPr>
        <w:t>2020</w:t>
      </w:r>
      <w:r>
        <w:rPr>
          <w:rFonts w:hint="eastAsia" w:ascii="仿宋_GB2312" w:hAnsi="Times New Roman" w:eastAsia="仿宋_GB2312"/>
          <w:sz w:val="32"/>
          <w:szCs w:val="32"/>
        </w:rPr>
        <w:t>年编辑形成了《西青区国有资产监督管理政策制度汇编》。聚焦重点领域和突出问题，</w:t>
      </w:r>
      <w:r>
        <w:rPr>
          <w:rFonts w:ascii="仿宋_GB2312" w:hAnsi="Times New Roman" w:eastAsia="仿宋_GB2312"/>
          <w:sz w:val="32"/>
          <w:szCs w:val="32"/>
        </w:rPr>
        <w:t>2019</w:t>
      </w:r>
      <w:r>
        <w:rPr>
          <w:rFonts w:hint="eastAsia" w:ascii="仿宋_GB2312" w:hAnsi="Times New Roman" w:eastAsia="仿宋_GB2312"/>
          <w:sz w:val="32"/>
          <w:szCs w:val="32"/>
        </w:rPr>
        <w:t>年聘请专业机构对</w:t>
      </w:r>
      <w:r>
        <w:rPr>
          <w:rFonts w:ascii="仿宋_GB2312" w:hAnsi="Times New Roman" w:eastAsia="仿宋_GB2312"/>
          <w:sz w:val="32"/>
          <w:szCs w:val="32"/>
        </w:rPr>
        <w:t>31</w:t>
      </w:r>
      <w:r>
        <w:rPr>
          <w:rFonts w:hint="eastAsia" w:ascii="仿宋_GB2312" w:hAnsi="Times New Roman" w:eastAsia="仿宋_GB2312"/>
          <w:sz w:val="32"/>
          <w:szCs w:val="32"/>
        </w:rPr>
        <w:t>家企业开展了专项审计，建立了国有企业工资总额预算管理，控制企业工资总额占企业成本费用的比重。坚持防范化解企业经营风险，做好债务规模和负债率双控工作，严控担保融资和举债，按照可比口径，区属国有企业</w:t>
      </w:r>
      <w:r>
        <w:rPr>
          <w:rFonts w:ascii="仿宋_GB2312" w:hAnsi="Times New Roman" w:eastAsia="仿宋_GB2312"/>
          <w:sz w:val="32"/>
          <w:szCs w:val="32"/>
        </w:rPr>
        <w:t>2021</w:t>
      </w:r>
      <w:r>
        <w:rPr>
          <w:rFonts w:hint="eastAsia" w:ascii="仿宋_GB2312" w:hAnsi="Times New Roman" w:eastAsia="仿宋_GB2312"/>
          <w:sz w:val="32"/>
          <w:szCs w:val="32"/>
        </w:rPr>
        <w:t>年资产负债率比</w:t>
      </w:r>
      <w:r>
        <w:rPr>
          <w:rFonts w:ascii="仿宋_GB2312" w:hAnsi="Times New Roman" w:eastAsia="仿宋_GB2312"/>
          <w:sz w:val="32"/>
          <w:szCs w:val="32"/>
        </w:rPr>
        <w:t>2017</w:t>
      </w:r>
      <w:r>
        <w:rPr>
          <w:rFonts w:hint="eastAsia" w:ascii="仿宋_GB2312" w:hAnsi="Times New Roman" w:eastAsia="仿宋_GB2312"/>
          <w:sz w:val="32"/>
          <w:szCs w:val="32"/>
        </w:rPr>
        <w:t>年下降</w:t>
      </w:r>
      <w:r>
        <w:rPr>
          <w:rFonts w:ascii="仿宋_GB2312" w:hAnsi="Times New Roman" w:eastAsia="仿宋_GB2312"/>
          <w:sz w:val="32"/>
          <w:szCs w:val="32"/>
        </w:rPr>
        <w:t>7.29</w:t>
      </w:r>
      <w:r>
        <w:rPr>
          <w:rFonts w:hint="eastAsia" w:ascii="仿宋_GB2312" w:hAnsi="Times New Roman" w:eastAsia="仿宋_GB2312"/>
          <w:sz w:val="32"/>
          <w:szCs w:val="32"/>
        </w:rPr>
        <w:t>个百分点。</w:t>
      </w:r>
    </w:p>
    <w:p w14:paraId="05B42C40">
      <w:pPr>
        <w:pStyle w:val="3"/>
        <w:spacing w:line="588" w:lineRule="exact"/>
        <w:rPr>
          <w:rFonts w:ascii="仿宋_GB2312" w:hAnsi="Times New Roman" w:eastAsia="仿宋_GB2312"/>
          <w:szCs w:val="32"/>
        </w:rPr>
      </w:pPr>
    </w:p>
    <w:p w14:paraId="137DC0F3">
      <w:pPr>
        <w:pStyle w:val="3"/>
        <w:spacing w:line="588" w:lineRule="exact"/>
        <w:ind w:firstLine="680"/>
        <w:rPr>
          <w:rFonts w:ascii="仿宋_GB2312" w:hAnsi="Times New Roman" w:eastAsia="仿宋_GB2312"/>
          <w:szCs w:val="32"/>
        </w:rPr>
      </w:pPr>
    </w:p>
    <w:p w14:paraId="64223523">
      <w:pPr>
        <w:pStyle w:val="3"/>
        <w:spacing w:line="588" w:lineRule="exact"/>
        <w:ind w:firstLine="680"/>
        <w:rPr>
          <w:rFonts w:ascii="仿宋_GB2312" w:hAnsi="Times New Roman" w:eastAsia="仿宋_GB2312"/>
          <w:szCs w:val="32"/>
        </w:rPr>
      </w:pPr>
      <w:r>
        <w:rPr>
          <w:rFonts w:ascii="仿宋_GB2312" w:hAnsi="Times New Roman" w:eastAsia="仿宋_GB2312"/>
          <w:szCs w:val="32"/>
        </w:rPr>
        <w:t xml:space="preserve">                        </w:t>
      </w:r>
    </w:p>
    <w:p w14:paraId="3C8C14DC">
      <w:pPr>
        <w:pStyle w:val="3"/>
        <w:spacing w:line="588" w:lineRule="exact"/>
        <w:rPr>
          <w:rFonts w:ascii="仿宋_GB2312" w:hAnsi="Times New Roman" w:eastAsia="仿宋_GB2312"/>
          <w:kern w:val="0"/>
          <w:szCs w:val="32"/>
        </w:rPr>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D8AA">
    <w:pPr>
      <w:pStyle w:val="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F1929EA">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5FF"/>
    <w:rsid w:val="001257FB"/>
    <w:rsid w:val="001A4734"/>
    <w:rsid w:val="002022EF"/>
    <w:rsid w:val="003E2C12"/>
    <w:rsid w:val="00664869"/>
    <w:rsid w:val="00746910"/>
    <w:rsid w:val="0085535A"/>
    <w:rsid w:val="0098122D"/>
    <w:rsid w:val="00AF4D03"/>
    <w:rsid w:val="00B84326"/>
    <w:rsid w:val="00B8627D"/>
    <w:rsid w:val="00C10396"/>
    <w:rsid w:val="00C40419"/>
    <w:rsid w:val="00D06588"/>
    <w:rsid w:val="00DE69CD"/>
    <w:rsid w:val="00E22FE0"/>
    <w:rsid w:val="00EB15FF"/>
    <w:rsid w:val="00EB4342"/>
    <w:rsid w:val="00F675A2"/>
    <w:rsid w:val="7C743682"/>
    <w:rsid w:val="7E1A3F8B"/>
    <w:rsid w:val="7FF457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3"/>
    <w:qFormat/>
    <w:uiPriority w:val="99"/>
    <w:pPr>
      <w:spacing w:before="100" w:beforeAutospacing="1" w:after="100" w:afterAutospacing="1"/>
      <w:jc w:val="left"/>
      <w:outlineLvl w:val="1"/>
    </w:pPr>
    <w:rPr>
      <w:rFonts w:ascii="宋体" w:hAnsi="宋体"/>
      <w:b/>
      <w:kern w:val="0"/>
      <w:sz w:val="36"/>
      <w:szCs w:val="36"/>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uiPriority w:val="99"/>
    <w:rPr>
      <w:rFonts w:eastAsia="楷体"/>
      <w:sz w:val="28"/>
    </w:rPr>
  </w:style>
  <w:style w:type="paragraph" w:styleId="3">
    <w:name w:val="Body Text"/>
    <w:basedOn w:val="1"/>
    <w:link w:val="14"/>
    <w:uiPriority w:val="99"/>
    <w:rPr>
      <w:sz w:val="32"/>
    </w:rPr>
  </w:style>
  <w:style w:type="paragraph" w:styleId="5">
    <w:name w:val="Normal Indent"/>
    <w:basedOn w:val="1"/>
    <w:qFormat/>
    <w:uiPriority w:val="99"/>
    <w:pPr>
      <w:overflowPunct w:val="0"/>
      <w:autoSpaceDE w:val="0"/>
      <w:autoSpaceDN w:val="0"/>
      <w:ind w:firstLine="420" w:firstLineChars="200"/>
    </w:pPr>
    <w:rPr>
      <w:rFonts w:ascii="Times New Roman" w:hAnsi="Times New Roman"/>
      <w:szCs w:val="32"/>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99"/>
    <w:pPr>
      <w:widowControl/>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Emphasis"/>
    <w:basedOn w:val="10"/>
    <w:qFormat/>
    <w:uiPriority w:val="99"/>
    <w:rPr>
      <w:rFonts w:cs="Times New Roman"/>
      <w:i/>
    </w:rPr>
  </w:style>
  <w:style w:type="character" w:customStyle="1" w:styleId="13">
    <w:name w:val="Heading 2 Char"/>
    <w:basedOn w:val="10"/>
    <w:link w:val="4"/>
    <w:semiHidden/>
    <w:uiPriority w:val="9"/>
    <w:rPr>
      <w:rFonts w:asciiTheme="majorHAnsi" w:hAnsiTheme="majorHAnsi" w:eastAsiaTheme="majorEastAsia" w:cstheme="majorBidi"/>
      <w:b/>
      <w:bCs/>
      <w:sz w:val="32"/>
      <w:szCs w:val="32"/>
    </w:rPr>
  </w:style>
  <w:style w:type="character" w:customStyle="1" w:styleId="14">
    <w:name w:val="Body Text Char"/>
    <w:basedOn w:val="10"/>
    <w:link w:val="3"/>
    <w:semiHidden/>
    <w:uiPriority w:val="99"/>
    <w:rPr>
      <w:rFonts w:ascii="Calibri" w:hAnsi="Calibri"/>
    </w:rPr>
  </w:style>
  <w:style w:type="character" w:customStyle="1" w:styleId="15">
    <w:name w:val="Body Text First Indent Char"/>
    <w:basedOn w:val="14"/>
    <w:link w:val="2"/>
    <w:semiHidden/>
    <w:uiPriority w:val="99"/>
  </w:style>
  <w:style w:type="character" w:customStyle="1" w:styleId="16">
    <w:name w:val="Footer Char"/>
    <w:basedOn w:val="10"/>
    <w:link w:val="6"/>
    <w:semiHidden/>
    <w:uiPriority w:val="99"/>
    <w:rPr>
      <w:rFonts w:ascii="Calibri" w:hAnsi="Calibri"/>
      <w:sz w:val="18"/>
      <w:szCs w:val="18"/>
    </w:rPr>
  </w:style>
  <w:style w:type="character" w:customStyle="1" w:styleId="17">
    <w:name w:val="Header Char"/>
    <w:basedOn w:val="10"/>
    <w:link w:val="7"/>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5562</Words>
  <Characters>5825</Characters>
  <Lines>0</Lines>
  <Paragraphs>0</Paragraphs>
  <TotalTime>8</TotalTime>
  <ScaleCrop>false</ScaleCrop>
  <LinksUpToDate>false</LinksUpToDate>
  <CharactersWithSpaces>5900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2023-02-17T02:05:00Z</dcterms:created>
  <dc:creator>greatwall</dc:creator>
  <cp:lastModifiedBy>小知了</cp:lastModifiedBy>
  <cp:lastPrinted>2022-06-16T15:53:00Z</cp:lastPrinted>
  <dcterms:modified xsi:type="dcterms:W3CDTF">2025-03-06T07:49:04Z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3A7DC1CDFF9C41F39C2F858D1AFDF240</vt:lpwstr>
  </property>
  <property fmtid="{D5CDD505-2E9C-101B-9397-08002B2CF9AE}" pid="4" name="KSOTemplateDocerSaveRecord">
    <vt:lpwstr>eyJoZGlkIjoiODM3ZjA0ZGI0NzRkMWQ2N2FiZmRjMzE3Y2M1NzY0NzgiLCJ1c2VySWQiOiIyNTY5ODU1NDAifQ==</vt:lpwstr>
  </property>
</Properties>
</file>