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天津市西青区教师发展中心</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本单位全方位做好在职教师、干部专业成长与发展的全过程管理与服务，助力全区教育教学和管理水平提升。承担教育发展、教育理论、教育教学、教育评估、课程建设、科学应用、教师专业发展等方面研究，为提高教育教学质量、教育管理和决策水平服务；负责教育培训、学术交流等工作；负责中小学教师“区管校聘”管理改革相关的教职工编制管理、岗位设置、招聘、考核等事务性工作；承担教育信息化建设，负责全区教育城域网（教育网）的网络维护与管理，负责教育局网站、教育系统各单位网站及学校班级德育网站的建设与维护，负责教育系统基础教育数据的储存与维护，负责教育应用系统与平台服务的建设、开发、维护等工作,以及全区青少年儿童校外公益培训。</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天津市西青区教师发展中心部门内设</w:t>
      </w:r>
      <w:r>
        <w:rPr>
          <w:rFonts w:ascii="仿宋" w:hAnsi="仿宋" w:cs="仿宋" w:eastAsia="仿宋"/>
          <w:sz w:val="30"/>
          <w:b w:val="off"/>
          <w:color w:val="000000"/>
        </w:rPr>
        <w:t>9</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纳入天津市西青区教师发展中心单位2025年部门预算编制范围的预算单位包括：</w:t>
      </w:r>
    </w:p>
    <w:p>
      <w:pPr>
        <w:spacing w:line="560" w:lineRule="exact"/>
        <w:ind w:firstLine="600"/>
        <w:jc w:val="both"/>
      </w:pPr>
      <w:r>
        <w:rPr>
          <w:rFonts w:ascii="仿宋" w:hAnsi="仿宋" w:cs="仿宋" w:eastAsia="仿宋"/>
          <w:sz w:val="30"/>
          <w:b w:val="off"/>
          <w:color w:val="000000"/>
        </w:rPr>
        <w:t>1.天津市西青区教师发展中心</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按照综合预算的原则，天津市西青区教师发展中心单位所有收入和支出均纳入部门预算管理。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一般公共预算拨款收入4,770.09万元、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上年结转结余498.02万元；</w:t>
      </w:r>
      <w:r>
        <w:rPr>
          <w:rFonts w:ascii="仿宋" w:hAnsi="仿宋" w:cs="仿宋" w:eastAsia="仿宋"/>
          <w:sz w:val="30"/>
          <w:b w:val="off"/>
          <w:color w:val="000000"/>
        </w:rPr>
        <w:t>支出包括：</w:t>
      </w:r>
      <w:r>
        <w:rPr>
          <w:rFonts w:ascii="仿宋" w:hAnsi="仿宋" w:cs="仿宋" w:eastAsia="仿宋"/>
          <w:sz w:val="30"/>
          <w:b w:val="off"/>
          <w:color w:val="000000"/>
        </w:rPr>
        <w:t>教育支出5,268.11万元。</w:t>
      </w:r>
      <w:r>
        <w:rPr>
          <w:rFonts w:ascii="仿宋" w:hAnsi="仿宋" w:cs="仿宋" w:eastAsia="仿宋"/>
          <w:sz w:val="30"/>
          <w:b w:val="off"/>
          <w:color w:val="000000"/>
        </w:rPr>
        <w:t>天津市西青区教师发展中心单位2025年收支总预算</w:t>
      </w:r>
      <w:r>
        <w:rPr>
          <w:rFonts w:ascii="仿宋" w:hAnsi="仿宋" w:cs="仿宋" w:eastAsia="仿宋"/>
          <w:sz w:val="30"/>
          <w:b w:val="off"/>
          <w:color w:val="000000"/>
        </w:rPr>
        <w:t>5,268.11</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天津市西青区教师发展中心单位2025年部门预算收入5,268.11万元</w:t>
      </w:r>
      <w:r>
        <w:rPr>
          <w:rFonts w:ascii="仿宋" w:hAnsi="仿宋" w:cs="仿宋" w:eastAsia="仿宋"/>
          <w:sz w:val="30"/>
          <w:b w:val="off"/>
          <w:color w:val="000000"/>
        </w:rPr>
        <w:t>，与上年预算相比增加1,463.24万元，主要原因是</w:t>
      </w:r>
      <w:r>
        <w:rPr>
          <w:rFonts w:ascii="仿宋" w:hAnsi="仿宋" w:cs="仿宋" w:eastAsia="仿宋"/>
          <w:sz w:val="30"/>
          <w:b w:val="off"/>
          <w:color w:val="000000"/>
        </w:rPr>
        <w:t>由于财政经费紧张，2024年缩减项目经费支出，部分预算结转结余到2025年。</w:t>
      </w:r>
      <w:r>
        <w:rPr>
          <w:rFonts w:ascii="仿宋" w:hAnsi="仿宋" w:cs="仿宋" w:eastAsia="仿宋"/>
          <w:sz w:val="30"/>
          <w:b w:val="off"/>
          <w:color w:val="000000"/>
        </w:rPr>
        <w:t>其中：</w:t>
      </w:r>
      <w:r>
        <w:rPr>
          <w:rFonts w:ascii="仿宋" w:hAnsi="仿宋" w:cs="仿宋" w:eastAsia="仿宋"/>
          <w:sz w:val="30"/>
          <w:b w:val="off"/>
          <w:color w:val="000000"/>
        </w:rPr>
        <w:t>上年结转结余498.02万元，占9.45%；</w:t>
      </w:r>
      <w:r>
        <w:rPr>
          <w:rFonts w:ascii="仿宋" w:hAnsi="仿宋" w:cs="仿宋" w:eastAsia="仿宋"/>
          <w:sz w:val="30"/>
          <w:b w:val="off"/>
          <w:color w:val="000000"/>
        </w:rPr>
        <w:t>一般公共预算4,770.09万元，占90.55%；</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天津市西青区教师发展中心单位2025年支出预算5,268.11万元</w:t>
      </w:r>
      <w:r>
        <w:rPr>
          <w:rFonts w:ascii="仿宋" w:hAnsi="仿宋" w:cs="仿宋" w:eastAsia="仿宋"/>
          <w:sz w:val="30"/>
          <w:b w:val="off"/>
          <w:color w:val="000000"/>
        </w:rPr>
        <w:t>，与上年预算相比增加1,463.24万元，主要原因是</w:t>
      </w:r>
      <w:r>
        <w:rPr>
          <w:rFonts w:ascii="仿宋" w:hAnsi="仿宋" w:cs="仿宋" w:eastAsia="仿宋"/>
          <w:sz w:val="30"/>
          <w:b w:val="off"/>
          <w:color w:val="000000"/>
        </w:rPr>
        <w:t>由于财政经费紧张，2024年缩减项目经费支出，部分预算结转结余到2025年。</w:t>
      </w:r>
      <w:r>
        <w:rPr>
          <w:rFonts w:ascii="仿宋" w:hAnsi="仿宋" w:cs="仿宋" w:eastAsia="仿宋"/>
          <w:sz w:val="30"/>
          <w:b w:val="off"/>
          <w:color w:val="000000"/>
        </w:rPr>
        <w:t>其中：</w:t>
      </w:r>
      <w:r>
        <w:rPr>
          <w:rFonts w:ascii="仿宋" w:hAnsi="仿宋" w:cs="仿宋" w:eastAsia="仿宋"/>
          <w:sz w:val="30"/>
          <w:b w:val="off"/>
          <w:color w:val="000000"/>
        </w:rPr>
        <w:t>基本支出4,360.09万元，占82.76%；</w:t>
      </w:r>
      <w:r>
        <w:rPr>
          <w:rFonts w:ascii="仿宋" w:hAnsi="仿宋" w:cs="仿宋" w:eastAsia="仿宋"/>
          <w:sz w:val="30"/>
          <w:b w:val="off"/>
          <w:color w:val="000000"/>
        </w:rPr>
        <w:t>项目支出908.02万元，占17.24%；</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天津市西青区教师发展中心单位2025年财政拨款收入预算5,268.11万元</w:t>
      </w:r>
      <w:r>
        <w:rPr>
          <w:rFonts w:ascii="仿宋" w:hAnsi="仿宋" w:cs="仿宋" w:eastAsia="仿宋"/>
          <w:sz w:val="30"/>
          <w:b w:val="off"/>
          <w:color w:val="000000"/>
        </w:rPr>
        <w:t>，与上年预算相比增加1,463.24万元，主要原因是</w:t>
      </w:r>
      <w:r>
        <w:rPr>
          <w:rFonts w:ascii="仿宋" w:hAnsi="仿宋" w:cs="仿宋" w:eastAsia="仿宋"/>
          <w:sz w:val="30"/>
          <w:b w:val="off"/>
          <w:color w:val="000000"/>
        </w:rPr>
        <w:t>由于财政经费紧张，2024年缩减项目经费支出，部分预算结转结余到2025年。</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一般公共预算拨款收入4,770.09万元、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上年财政结转结余498.02万元、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2025年财政拨款支出预算5,268.11万元</w:t>
      </w:r>
      <w:r>
        <w:rPr>
          <w:rFonts w:ascii="仿宋" w:hAnsi="仿宋" w:cs="仿宋" w:eastAsia="仿宋"/>
          <w:sz w:val="30"/>
          <w:b w:val="off"/>
          <w:color w:val="000000"/>
        </w:rPr>
        <w:t>，与上年预算相比增加1,463.24万元，主要原因是</w:t>
      </w:r>
      <w:r>
        <w:rPr>
          <w:rFonts w:ascii="仿宋" w:hAnsi="仿宋" w:cs="仿宋" w:eastAsia="仿宋"/>
          <w:sz w:val="30"/>
          <w:b w:val="off"/>
          <w:color w:val="000000"/>
        </w:rPr>
        <w:t>由于财政经费紧张，2024年缩减项目经费支出，部分预算结转结余到2025年。</w:t>
      </w:r>
      <w:r>
        <w:rPr>
          <w:rFonts w:ascii="仿宋" w:hAnsi="仿宋" w:cs="仿宋" w:eastAsia="仿宋"/>
          <w:sz w:val="30"/>
          <w:b w:val="off"/>
          <w:color w:val="000000"/>
        </w:rPr>
        <w:t>支出包括：</w:t>
      </w:r>
      <w:r>
        <w:rPr>
          <w:rFonts w:ascii="仿宋" w:hAnsi="仿宋" w:cs="仿宋" w:eastAsia="仿宋"/>
          <w:sz w:val="30"/>
          <w:b w:val="off"/>
          <w:color w:val="000000"/>
        </w:rPr>
        <w:t>教育支出5,268.11万元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天津市西青区教师发展中心单位2025年一般公共预算支出5,268.11万元</w:t>
      </w:r>
      <w:r>
        <w:rPr>
          <w:rFonts w:ascii="仿宋" w:hAnsi="仿宋" w:cs="仿宋" w:eastAsia="仿宋"/>
          <w:sz w:val="30"/>
          <w:b w:val="off"/>
          <w:color w:val="000000"/>
        </w:rPr>
        <w:t>(上年</w:t>
      </w:r>
      <w:r>
        <w:rPr>
          <w:rFonts w:ascii="仿宋" w:hAnsi="仿宋" w:cs="仿宋" w:eastAsia="仿宋"/>
          <w:sz w:val="30"/>
          <w:b w:val="off"/>
          <w:color w:val="000000"/>
        </w:rPr>
        <w:t>3804.87</w:t>
      </w:r>
      <w:r>
        <w:rPr>
          <w:rFonts w:ascii="仿宋" w:hAnsi="仿宋" w:cs="仿宋" w:eastAsia="仿宋"/>
          <w:sz w:val="30"/>
          <w:b w:val="off"/>
          <w:color w:val="000000"/>
        </w:rPr>
        <w:t>万元）</w:t>
      </w:r>
      <w:r>
        <w:rPr>
          <w:rFonts w:ascii="仿宋" w:hAnsi="仿宋" w:cs="仿宋" w:eastAsia="仿宋"/>
          <w:sz w:val="30"/>
          <w:b w:val="off"/>
          <w:color w:val="000000"/>
        </w:rPr>
        <w:t>，与上年预算相比增加1,463.24万元，主要原因是</w:t>
      </w:r>
      <w:r>
        <w:rPr>
          <w:rFonts w:ascii="仿宋" w:hAnsi="仿宋" w:cs="仿宋" w:eastAsia="仿宋"/>
          <w:sz w:val="30"/>
          <w:b w:val="off"/>
          <w:color w:val="000000"/>
        </w:rPr>
        <w:t>由于财政经费紧张，2024年缩减项目经费支出，部分预算结转结余到2025年。</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1、“教育支出（类）”5,268.11万元</w:t>
      </w:r>
      <w:r>
        <w:rPr>
          <w:rFonts w:ascii="仿宋" w:hAnsi="仿宋" w:cs="仿宋" w:eastAsia="仿宋"/>
          <w:sz w:val="30"/>
          <w:b w:val="off"/>
          <w:color w:val="000000"/>
        </w:rPr>
        <w:t>，与上年预算相比增加1,463.24万元，主要原因是</w:t>
      </w:r>
      <w:r>
        <w:rPr>
          <w:rFonts w:ascii="仿宋" w:hAnsi="仿宋" w:cs="仿宋" w:eastAsia="仿宋"/>
          <w:sz w:val="30"/>
          <w:b w:val="off"/>
          <w:color w:val="000000"/>
        </w:rPr>
        <w:t>由于财政经费紧张，2024年缩减项目经费支出，部分预算结转结余到2025年。</w:t>
      </w:r>
      <w:r>
        <w:rPr>
          <w:rFonts w:ascii="仿宋" w:hAnsi="仿宋" w:cs="仿宋" w:eastAsia="仿宋"/>
          <w:sz w:val="30"/>
          <w:b w:val="off"/>
          <w:color w:val="000000"/>
        </w:rPr>
        <w:t>其中：</w:t>
      </w:r>
      <w:r>
        <w:rPr>
          <w:rFonts w:ascii="仿宋" w:hAnsi="仿宋" w:cs="仿宋" w:eastAsia="仿宋"/>
          <w:sz w:val="30"/>
          <w:b w:val="off"/>
          <w:color w:val="000000"/>
        </w:rPr>
        <w:t>“普通教育（款）”50.00万元，包括：</w:t>
      </w:r>
      <w:r>
        <w:rPr>
          <w:rFonts w:ascii="仿宋" w:hAnsi="仿宋" w:cs="仿宋" w:eastAsia="仿宋"/>
          <w:sz w:val="30"/>
          <w:b w:val="off"/>
          <w:color w:val="000000"/>
        </w:rPr>
        <w:t>“其他普通教育支出（项）”50.00万元，</w:t>
      </w:r>
      <w:r>
        <w:rPr>
          <w:rFonts w:ascii="仿宋" w:hAnsi="仿宋" w:cs="仿宋" w:eastAsia="仿宋"/>
          <w:sz w:val="30"/>
          <w:b w:val="off"/>
          <w:color w:val="000000"/>
        </w:rPr>
        <w:t>主要用于</w:t>
      </w:r>
      <w:r>
        <w:rPr>
          <w:rFonts w:ascii="仿宋" w:hAnsi="仿宋" w:cs="仿宋" w:eastAsia="仿宋"/>
          <w:sz w:val="30"/>
          <w:b w:val="off"/>
          <w:color w:val="000000"/>
        </w:rPr>
        <w:t>2023年学业测评项目第三阶段支付尾款</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“进修及培训（款）”23.00万元，包括：</w:t>
      </w:r>
      <w:r>
        <w:rPr>
          <w:rFonts w:ascii="仿宋" w:hAnsi="仿宋" w:cs="仿宋" w:eastAsia="仿宋"/>
          <w:sz w:val="30"/>
          <w:b w:val="off"/>
          <w:color w:val="000000"/>
        </w:rPr>
        <w:t>“教师进修（项）”23.00万元，</w:t>
      </w:r>
      <w:r>
        <w:rPr>
          <w:rFonts w:ascii="仿宋" w:hAnsi="仿宋" w:cs="仿宋" w:eastAsia="仿宋"/>
          <w:sz w:val="30"/>
          <w:b w:val="off"/>
          <w:color w:val="000000"/>
        </w:rPr>
        <w:t>主要用于</w:t>
      </w:r>
      <w:r>
        <w:rPr>
          <w:rFonts w:ascii="仿宋" w:hAnsi="仿宋" w:cs="仿宋" w:eastAsia="仿宋"/>
          <w:sz w:val="30"/>
          <w:b w:val="off"/>
          <w:color w:val="000000"/>
        </w:rPr>
        <w:t>根据区财政局、教育局2025年项目预算编制要求及本单位（部门）工作计划，特开展干部教师类培训项目</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“其他教育支出（款）”5,195.11万元，包括：</w:t>
      </w:r>
      <w:r>
        <w:rPr>
          <w:rFonts w:ascii="仿宋" w:hAnsi="仿宋" w:cs="仿宋" w:eastAsia="仿宋"/>
          <w:sz w:val="30"/>
          <w:b w:val="off"/>
          <w:color w:val="000000"/>
        </w:rPr>
        <w:t>“其他教育支出（项）”5,195.11万元，</w:t>
      </w:r>
      <w:r>
        <w:rPr>
          <w:rFonts w:ascii="仿宋" w:hAnsi="仿宋" w:cs="仿宋" w:eastAsia="仿宋"/>
          <w:sz w:val="30"/>
          <w:b w:val="off"/>
          <w:color w:val="000000"/>
        </w:rPr>
        <w:t>主要用于</w:t>
      </w:r>
      <w:r>
        <w:rPr>
          <w:rFonts w:ascii="仿宋" w:hAnsi="仿宋" w:cs="仿宋" w:eastAsia="仿宋"/>
          <w:sz w:val="30"/>
          <w:b w:val="off"/>
          <w:color w:val="000000"/>
        </w:rPr>
        <w:t>工资福利、日常公用支出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天津市西青区教师发展中心单位2025年一般公共预算基本支出 4,360.09万元</w:t>
      </w:r>
      <w:r>
        <w:rPr>
          <w:rFonts w:ascii="仿宋" w:hAnsi="仿宋" w:cs="仿宋" w:eastAsia="仿宋"/>
          <w:sz w:val="30"/>
          <w:b w:val="off"/>
          <w:color w:val="000000"/>
        </w:rPr>
        <w:t>，与上年预算相比增加585.22万元，主要原因是</w:t>
      </w:r>
      <w:r>
        <w:rPr>
          <w:rFonts w:ascii="仿宋" w:hAnsi="仿宋" w:cs="仿宋" w:eastAsia="仿宋"/>
          <w:sz w:val="30"/>
          <w:b w:val="off"/>
          <w:color w:val="000000"/>
        </w:rPr>
        <w:t>人员增加。</w:t>
      </w:r>
      <w:r>
        <w:rPr>
          <w:rFonts w:ascii="仿宋" w:hAnsi="仿宋" w:cs="仿宋" w:eastAsia="仿宋"/>
          <w:sz w:val="30"/>
          <w:b w:val="off"/>
          <w:color w:val="000000"/>
        </w:rPr>
        <w:t>其中：</w:t>
      </w:r>
      <w:r>
        <w:rPr>
          <w:rFonts w:ascii="仿宋" w:hAnsi="仿宋" w:cs="仿宋" w:eastAsia="仿宋"/>
          <w:sz w:val="30"/>
          <w:b w:val="off"/>
          <w:color w:val="000000"/>
        </w:rPr>
        <w:t>人员经费 4,017.14万元，主要包括：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生活补助</w:t>
      </w:r>
      <w:r>
        <w:rPr>
          <w:rFonts w:ascii="仿宋" w:hAnsi="仿宋" w:cs="仿宋" w:eastAsia="仿宋"/>
          <w:sz w:val="30"/>
          <w:b w:val="off"/>
          <w:color w:val="000000"/>
        </w:rPr>
        <w:t>、</w:t>
      </w:r>
      <w:r>
        <w:rPr>
          <w:rFonts w:ascii="仿宋" w:hAnsi="仿宋" w:cs="仿宋" w:eastAsia="仿宋"/>
          <w:sz w:val="30"/>
          <w:b w:val="off"/>
          <w:color w:val="000000"/>
        </w:rPr>
        <w:t>医疗费补助</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公用经费342.95万元，主要包括：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手续费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邮电费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差旅费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w:t>
      </w:r>
      <w:r>
        <w:rPr>
          <w:rFonts w:ascii="仿宋" w:hAnsi="仿宋" w:cs="仿宋" w:eastAsia="仿宋"/>
          <w:sz w:val="30"/>
          <w:b w:val="off"/>
          <w:color w:val="000000"/>
        </w:rPr>
        <w:t>培训费</w:t>
      </w:r>
      <w:r>
        <w:rPr>
          <w:rFonts w:ascii="仿宋" w:hAnsi="仿宋" w:cs="仿宋" w:eastAsia="仿宋"/>
          <w:sz w:val="30"/>
          <w:b w:val="off"/>
          <w:color w:val="000000"/>
        </w:rPr>
        <w:t>、</w:t>
      </w:r>
      <w:r>
        <w:rPr>
          <w:rFonts w:ascii="仿宋" w:hAnsi="仿宋" w:cs="仿宋" w:eastAsia="仿宋"/>
          <w:sz w:val="30"/>
          <w:b w:val="off"/>
          <w:color w:val="000000"/>
        </w:rPr>
        <w:t>工会经费</w:t>
      </w:r>
      <w:r>
        <w:rPr>
          <w:rFonts w:ascii="仿宋" w:hAnsi="仿宋" w:cs="仿宋" w:eastAsia="仿宋"/>
          <w:sz w:val="30"/>
          <w:b w:val="off"/>
          <w:color w:val="000000"/>
        </w:rPr>
        <w:t>、</w:t>
      </w:r>
      <w:r>
        <w:rPr>
          <w:rFonts w:ascii="仿宋" w:hAnsi="仿宋" w:cs="仿宋" w:eastAsia="仿宋"/>
          <w:sz w:val="30"/>
          <w:b w:val="off"/>
          <w:color w:val="000000"/>
        </w:rPr>
        <w:t>福利费</w:t>
      </w:r>
      <w:r>
        <w:rPr>
          <w:rFonts w:ascii="仿宋" w:hAnsi="仿宋" w:cs="仿宋" w:eastAsia="仿宋"/>
          <w:sz w:val="30"/>
          <w:b w:val="off"/>
          <w:color w:val="000000"/>
        </w:rPr>
        <w:t>、</w:t>
      </w:r>
      <w:r>
        <w:rPr>
          <w:rFonts w:ascii="仿宋" w:hAnsi="仿宋" w:cs="仿宋" w:eastAsia="仿宋"/>
          <w:sz w:val="30"/>
          <w:b w:val="off"/>
          <w:color w:val="000000"/>
        </w:rPr>
        <w:t>其他商品和服务支出</w:t>
      </w:r>
      <w:r>
        <w:rPr>
          <w:rFonts w:ascii="仿宋" w:hAnsi="仿宋" w:cs="仿宋" w:eastAsia="仿宋"/>
          <w:sz w:val="30"/>
          <w:b w:val="off"/>
          <w:color w:val="000000"/>
        </w:rPr>
        <w:t>、</w:t>
      </w:r>
      <w:r>
        <w:rPr>
          <w:rFonts w:ascii="仿宋" w:hAnsi="仿宋" w:cs="仿宋" w:eastAsia="仿宋"/>
          <w:sz w:val="30"/>
          <w:b w:val="off"/>
          <w:color w:val="000000"/>
        </w:rPr>
        <w:t>办公设备购置</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本单位未安排一般公共预算“三公”经费。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本单位未安排一般公共预算“因公出国（境）”经费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本单位未安排一般公共预算“公务用车运行”经费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本单位未安排一般公共预算“公务用车购置”经费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本单位未安排一般公共预算“公务接待费”经费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2025年天津市西青区教师发展中心单位预算中没有使用政府性基金预算安排的支出。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2025年天津市西青区教师发展中心单位预算中没有使用国有资本经营预算预算安排的支出。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26.80</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26.80</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物业管理费支出。</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天津市西青区教师发展中心单位2025年实行绩效目标管理的项目</w:t>
      </w:r>
      <w:r>
        <w:rPr>
          <w:rFonts w:ascii="仿宋" w:hAnsi="仿宋" w:cs="仿宋" w:eastAsia="仿宋"/>
          <w:sz w:val="30"/>
          <w:b w:val="off"/>
          <w:color w:val="000000"/>
        </w:rPr>
        <w:t>10</w:t>
      </w:r>
      <w:r>
        <w:rPr>
          <w:rFonts w:ascii="仿宋" w:hAnsi="仿宋" w:cs="仿宋" w:eastAsia="仿宋"/>
          <w:sz w:val="30"/>
          <w:b w:val="off"/>
          <w:color w:val="000000"/>
        </w:rPr>
        <w:t>个，涉及预算金额</w:t>
      </w:r>
      <w:r>
        <w:rPr>
          <w:rFonts w:ascii="仿宋" w:hAnsi="仿宋" w:cs="仿宋" w:eastAsia="仿宋"/>
          <w:sz w:val="30"/>
          <w:b w:val="off"/>
          <w:color w:val="000000"/>
        </w:rPr>
        <w:t>908.02</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2025-03-18T01:55:05Z</dcterms:created>
  <dc:creator>Apache POI</dc:creator>
</cp:coreProperties>
</file>