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天津市西青区重点业余体育学校</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1、实施小学初中九年义务教育。</w:t>
        <w:br/>
        <w:t xml:space="preserve">    2、推广青少年竞技体育项目；组织开展青少年竞技体育项目业余训练和参赛；挖掘培养竞技体育后备人才。</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天津市西青区重点业余体育学校部门内设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纳入天津市西青区重点业余体育学校单位2025年部门预算编制范围的预算单位包括：</w:t>
      </w:r>
    </w:p>
    <w:p>
      <w:pPr>
        <w:spacing w:line="560" w:lineRule="exact"/>
        <w:ind w:firstLine="600"/>
        <w:jc w:val="both"/>
      </w:pPr>
      <w:r>
        <w:rPr>
          <w:rFonts w:ascii="仿宋" w:hAnsi="仿宋" w:cs="仿宋" w:eastAsia="仿宋"/>
          <w:sz w:val="30"/>
          <w:b w:val="off"/>
          <w:color w:val="000000"/>
        </w:rPr>
        <w:t>1.天津市西青区重点业余体育学校</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按照综合预算的原则，天津市西青区重点业余体育学校单位所有收入和支出均纳入部门预算管理。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一般公共预算拨款收入1,003.63万元、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教育支出1,003.63万元。</w:t>
      </w:r>
      <w:r>
        <w:rPr>
          <w:rFonts w:ascii="仿宋" w:hAnsi="仿宋" w:cs="仿宋" w:eastAsia="仿宋"/>
          <w:sz w:val="30"/>
          <w:b w:val="off"/>
          <w:color w:val="000000"/>
        </w:rPr>
        <w:t>天津市西青区重点业余体育学校单位2025年收支总预算</w:t>
      </w:r>
      <w:r>
        <w:rPr>
          <w:rFonts w:ascii="仿宋" w:hAnsi="仿宋" w:cs="仿宋" w:eastAsia="仿宋"/>
          <w:sz w:val="30"/>
          <w:b w:val="off"/>
          <w:color w:val="000000"/>
        </w:rPr>
        <w:t>1,003.63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天津市西青区重点业余体育学校单位2025年部门预算收入1,003.63万元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一般公共预算1,003.63万元，占100.00%；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天津市西青区重点业余体育学校单位2025年支出预算1,003.63万元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r>
        <w:rPr>
          <w:rFonts w:ascii="仿宋" w:hAnsi="仿宋" w:cs="仿宋" w:eastAsia="仿宋"/>
          <w:sz w:val="30"/>
          <w:b w:val="off"/>
          <w:color w:val="000000"/>
        </w:rPr>
        <w:t>其中：</w:t>
      </w:r>
      <w:r>
        <w:rPr>
          <w:rFonts w:ascii="仿宋" w:hAnsi="仿宋" w:cs="仿宋" w:eastAsia="仿宋"/>
          <w:sz w:val="30"/>
          <w:b w:val="off"/>
          <w:color w:val="000000"/>
        </w:rPr>
        <w:t>基本支出998.63万元，占99.50%；</w:t>
      </w:r>
      <w:r>
        <w:rPr>
          <w:rFonts w:ascii="仿宋" w:hAnsi="仿宋" w:cs="仿宋" w:eastAsia="仿宋"/>
          <w:sz w:val="30"/>
          <w:b w:val="off"/>
          <w:color w:val="000000"/>
        </w:rPr>
        <w:t>项目支出5.00万元，占0.50%；</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天津市西青区重点业余体育学校单位2025年财政拨款收入预算1,003.63万元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奖励性绩效发放金额与2024年相比减少一半。</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一般公共预算拨款收入1,003.63万元、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2025年财政拨款支出预算1,003.63万元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r>
        <w:rPr>
          <w:rFonts w:ascii="仿宋" w:hAnsi="仿宋" w:cs="仿宋" w:eastAsia="仿宋"/>
          <w:sz w:val="30"/>
          <w:b w:val="off"/>
          <w:color w:val="000000"/>
        </w:rPr>
        <w:t>支出包括：</w:t>
      </w:r>
      <w:r>
        <w:rPr>
          <w:rFonts w:ascii="仿宋" w:hAnsi="仿宋" w:cs="仿宋" w:eastAsia="仿宋"/>
          <w:sz w:val="30"/>
          <w:b w:val="off"/>
          <w:color w:val="000000"/>
        </w:rPr>
        <w:t>教育支出1,003.63万元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天津市西青区重点业余体育学校单位2025年一般公共预算支出1,003.63万元</w:t>
      </w:r>
      <w:r>
        <w:rPr>
          <w:rFonts w:ascii="仿宋" w:hAnsi="仿宋" w:cs="仿宋" w:eastAsia="仿宋"/>
          <w:sz w:val="30"/>
          <w:b w:val="off"/>
          <w:color w:val="000000"/>
        </w:rPr>
        <w:t>(上年</w:t>
      </w:r>
      <w:r>
        <w:rPr>
          <w:rFonts w:ascii="仿宋" w:hAnsi="仿宋" w:cs="仿宋" w:eastAsia="仿宋"/>
          <w:sz w:val="30"/>
          <w:b w:val="off"/>
          <w:color w:val="000000"/>
        </w:rPr>
        <w:t>1014.05</w:t>
      </w:r>
      <w:r>
        <w:rPr>
          <w:rFonts w:ascii="仿宋" w:hAnsi="仿宋" w:cs="仿宋" w:eastAsia="仿宋"/>
          <w:sz w:val="30"/>
          <w:b w:val="off"/>
          <w:color w:val="000000"/>
        </w:rPr>
        <w:t>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1、“教育支出（类）”1,003.63万元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r>
        <w:rPr>
          <w:rFonts w:ascii="仿宋" w:hAnsi="仿宋" w:cs="仿宋" w:eastAsia="仿宋"/>
          <w:sz w:val="30"/>
          <w:b w:val="off"/>
          <w:color w:val="000000"/>
        </w:rPr>
        <w:t>其中：</w:t>
      </w:r>
      <w:r>
        <w:rPr>
          <w:rFonts w:ascii="仿宋" w:hAnsi="仿宋" w:cs="仿宋" w:eastAsia="仿宋"/>
          <w:sz w:val="30"/>
          <w:b w:val="off"/>
          <w:color w:val="000000"/>
        </w:rPr>
        <w:t>“其他教育支出（款）”1,003.63万元，包括：</w:t>
      </w:r>
      <w:r>
        <w:rPr>
          <w:rFonts w:ascii="仿宋" w:hAnsi="仿宋" w:cs="仿宋" w:eastAsia="仿宋"/>
          <w:sz w:val="30"/>
          <w:b w:val="off"/>
          <w:color w:val="000000"/>
        </w:rPr>
        <w:t>“其他教育支出（项）”1,003.63万元，</w:t>
      </w:r>
      <w:r>
        <w:rPr>
          <w:rFonts w:ascii="仿宋" w:hAnsi="仿宋" w:cs="仿宋" w:eastAsia="仿宋"/>
          <w:sz w:val="30"/>
          <w:b w:val="off"/>
          <w:color w:val="000000"/>
        </w:rPr>
        <w:t>主要用于</w:t>
      </w:r>
      <w:r>
        <w:rPr>
          <w:rFonts w:ascii="仿宋" w:hAnsi="仿宋" w:cs="仿宋" w:eastAsia="仿宋"/>
          <w:sz w:val="30"/>
          <w:b w:val="off"/>
          <w:color w:val="000000"/>
        </w:rPr>
        <w:t>在职人员工资、社保、公积金；日常公用经费；离退休人员补贴等。</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天津市西青区重点业余体育学校单位2025年一般公共预算基本支出 998.63万元</w:t>
      </w:r>
      <w:r>
        <w:rPr>
          <w:rFonts w:ascii="仿宋" w:hAnsi="仿宋" w:cs="仿宋" w:eastAsia="仿宋"/>
          <w:sz w:val="30"/>
          <w:b w:val="off"/>
          <w:color w:val="000000"/>
        </w:rPr>
        <w:t>，与上年预算相比减少10.42万元，主要原因是</w:t>
      </w:r>
      <w:r>
        <w:rPr>
          <w:rFonts w:ascii="仿宋" w:hAnsi="仿宋" w:cs="仿宋" w:eastAsia="仿宋"/>
          <w:sz w:val="30"/>
          <w:b w:val="off"/>
          <w:color w:val="000000"/>
        </w:rPr>
        <w:t>奖励性绩效发放与2024年相比减少一半。</w:t>
      </w:r>
      <w:r>
        <w:rPr>
          <w:rFonts w:ascii="仿宋" w:hAnsi="仿宋" w:cs="仿宋" w:eastAsia="仿宋"/>
          <w:sz w:val="30"/>
          <w:b w:val="off"/>
          <w:color w:val="000000"/>
        </w:rPr>
        <w:t>其中：</w:t>
      </w:r>
      <w:r>
        <w:rPr>
          <w:rFonts w:ascii="仿宋" w:hAnsi="仿宋" w:cs="仿宋" w:eastAsia="仿宋"/>
          <w:sz w:val="30"/>
          <w:b w:val="off"/>
          <w:color w:val="000000"/>
        </w:rPr>
        <w:t>人员经费 917.83万元，主要包括：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公用经费80.80万元，主要包括：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本单位本年度未安排一般公共预算“三公”经费。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本单位本年度未安排一般公共预算因公出国（境）费经费。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本单位本年度未安排一般公共预算公务用车运行费经费。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本单位本年度未安排一般公共预算公务用车购置经费。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本单位本年度未安排一般公共预算公务接待经费。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2025年天津市西青区重点业余体育学校单位预算中没有使用政府性基金预算安排的支出。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2025年天津市西青区重点业余体育学校单位预算中没有使用国有资本经营预算预算安排的支出。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1.75</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1.75</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台式计算机1台0.5万元；空调机1台0.28万元；办公桌2张0.24万元；茶几1个0.1万元；办公椅2把0.13万元；单人沙发2个0.3万元；文件柜2个0.2万元。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天津市西青区重点业余体育学校单位2025年实行绩效目标管理的项目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5</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2025-03-11T03:43:46Z</dcterms:created>
  <dc:creator>Apache POI</dc:creator>
</cp:coreProperties>
</file>