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360" w:lineRule="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项目编号：</w:t>
      </w:r>
      <w:r>
        <w:rPr>
          <w:rFonts w:hint="eastAsia" w:ascii="宋体" w:hAnsi="宋体" w:cs="宋体"/>
          <w:b/>
          <w:sz w:val="21"/>
          <w:szCs w:val="21"/>
          <w:highlight w:val="none"/>
          <w:lang w:eastAsia="zh-CN"/>
        </w:rPr>
        <w:t>J-2504Z-D5038</w:t>
      </w:r>
    </w:p>
    <w:p>
      <w:pPr>
        <w:snapToGrid w:val="0"/>
        <w:spacing w:beforeLines="0" w:afterLines="0" w:line="360" w:lineRule="auto"/>
        <w:jc w:val="center"/>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rPr>
        <w:t>服 务 合 同</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7"/>
        <w:gridCol w:w="3162"/>
        <w:gridCol w:w="1319"/>
        <w:gridCol w:w="3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7"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供方（章）：</w:t>
            </w:r>
          </w:p>
        </w:tc>
        <w:tc>
          <w:tcPr>
            <w:tcW w:w="3162" w:type="dxa"/>
            <w:tcBorders>
              <w:top w:val="nil"/>
              <w:left w:val="nil"/>
              <w:bottom w:val="nil"/>
              <w:right w:val="nil"/>
              <w:tl2br w:val="nil"/>
              <w:tr2bl w:val="nil"/>
            </w:tcBorders>
            <w:noWrap w:val="0"/>
            <w:vAlign w:val="top"/>
          </w:tcPr>
          <w:p>
            <w:pPr>
              <w:spacing w:beforeLines="0" w:afterLines="0" w:line="240" w:lineRule="auto"/>
              <w:rPr>
                <w:rFonts w:hint="eastAsia" w:ascii="宋体" w:hAnsi="宋体" w:eastAsia="宋体" w:cs="宋体"/>
                <w:sz w:val="21"/>
                <w:szCs w:val="21"/>
                <w:highlight w:val="none"/>
                <w:u w:val="none"/>
              </w:rPr>
            </w:pPr>
            <w:r>
              <w:rPr>
                <w:rFonts w:hint="eastAsia"/>
              </w:rPr>
              <w:t>中正投（天津）项目管理有限公司</w:t>
            </w:r>
          </w:p>
        </w:tc>
        <w:tc>
          <w:tcPr>
            <w:tcW w:w="1319"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签订地点：</w:t>
            </w:r>
          </w:p>
        </w:tc>
        <w:tc>
          <w:tcPr>
            <w:tcW w:w="3240"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 xml:space="preserve">天津市西青区农业农村委员会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7"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需方（章）：</w:t>
            </w:r>
          </w:p>
        </w:tc>
        <w:tc>
          <w:tcPr>
            <w:tcW w:w="3162"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 xml:space="preserve">天津市西青区农业农村委员会                          </w:t>
            </w:r>
          </w:p>
        </w:tc>
        <w:tc>
          <w:tcPr>
            <w:tcW w:w="1319"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签订时间：</w:t>
            </w:r>
          </w:p>
        </w:tc>
        <w:tc>
          <w:tcPr>
            <w:tcW w:w="3240"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cs="宋体"/>
                <w:kern w:val="0"/>
                <w:sz w:val="21"/>
                <w:szCs w:val="21"/>
                <w:u w:val="none" w:color="auto"/>
                <w:lang w:eastAsia="zh-CN"/>
              </w:rPr>
              <w:t>202</w:t>
            </w:r>
            <w:r>
              <w:rPr>
                <w:rFonts w:hint="eastAsia" w:ascii="宋体" w:hAnsi="宋体" w:cs="宋体"/>
                <w:kern w:val="0"/>
                <w:sz w:val="21"/>
                <w:szCs w:val="21"/>
                <w:u w:val="none" w:color="auto"/>
                <w:lang w:val="en-US" w:eastAsia="zh-CN"/>
              </w:rPr>
              <w:t>5</w:t>
            </w:r>
            <w:r>
              <w:rPr>
                <w:rFonts w:hint="eastAsia" w:ascii="宋体" w:hAnsi="宋体" w:cs="宋体"/>
                <w:kern w:val="0"/>
                <w:sz w:val="21"/>
                <w:szCs w:val="21"/>
                <w:u w:val="none" w:color="auto"/>
              </w:rPr>
              <w:t>年</w:t>
            </w:r>
            <w:r>
              <w:rPr>
                <w:rFonts w:hint="eastAsia" w:ascii="宋体" w:hAnsi="宋体" w:cs="宋体"/>
                <w:kern w:val="0"/>
                <w:sz w:val="21"/>
                <w:szCs w:val="21"/>
                <w:u w:val="none" w:color="auto"/>
                <w:lang w:val="en-US" w:eastAsia="zh-CN"/>
              </w:rPr>
              <w:t>8</w:t>
            </w:r>
            <w:r>
              <w:rPr>
                <w:rFonts w:hint="eastAsia" w:ascii="宋体" w:hAnsi="宋体" w:cs="宋体"/>
                <w:kern w:val="0"/>
                <w:sz w:val="21"/>
                <w:szCs w:val="21"/>
                <w:u w:val="none" w:color="auto"/>
              </w:rPr>
              <w:t>月</w:t>
            </w:r>
            <w:r>
              <w:rPr>
                <w:rFonts w:hint="eastAsia" w:ascii="宋体" w:hAnsi="宋体" w:cs="宋体"/>
                <w:kern w:val="0"/>
                <w:sz w:val="21"/>
                <w:szCs w:val="21"/>
                <w:u w:val="none" w:color="auto"/>
                <w:lang w:val="en-US" w:eastAsia="zh-CN"/>
              </w:rPr>
              <w:t>29</w:t>
            </w:r>
            <w:r>
              <w:rPr>
                <w:rFonts w:hint="eastAsia" w:ascii="宋体" w:hAnsi="宋体" w:cs="宋体"/>
                <w:kern w:val="0"/>
                <w:sz w:val="21"/>
                <w:szCs w:val="21"/>
                <w:u w:val="none" w:color="auto"/>
              </w:rPr>
              <w:t>日</w:t>
            </w:r>
            <w:r>
              <w:rPr>
                <w:rFonts w:hint="eastAsia" w:ascii="宋体" w:hAnsi="宋体" w:eastAsia="宋体" w:cs="宋体"/>
                <w:sz w:val="21"/>
                <w:szCs w:val="21"/>
                <w:highlight w:val="none"/>
                <w:u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7"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p>
        </w:tc>
        <w:tc>
          <w:tcPr>
            <w:tcW w:w="3162"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p>
        </w:tc>
        <w:tc>
          <w:tcPr>
            <w:tcW w:w="1319"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招标方式：</w:t>
            </w:r>
          </w:p>
        </w:tc>
        <w:tc>
          <w:tcPr>
            <w:tcW w:w="3240"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default" w:ascii="宋体" w:hAnsi="宋体" w:eastAsia="宋体" w:cs="宋体"/>
                <w:sz w:val="21"/>
                <w:szCs w:val="21"/>
                <w:highlight w:val="none"/>
                <w:u w:val="none"/>
                <w:lang w:val="en-US" w:eastAsia="zh-CN"/>
              </w:rPr>
            </w:pPr>
            <w:r>
              <w:rPr>
                <w:rFonts w:hint="eastAsia" w:ascii="宋体" w:hAnsi="宋体" w:cs="宋体"/>
                <w:sz w:val="21"/>
                <w:szCs w:val="21"/>
                <w:highlight w:val="none"/>
                <w:u w:val="none"/>
                <w:lang w:val="en-US" w:eastAsia="zh-CN"/>
              </w:rPr>
              <w:t>询比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07"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p>
        </w:tc>
        <w:tc>
          <w:tcPr>
            <w:tcW w:w="3162"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p>
        </w:tc>
        <w:tc>
          <w:tcPr>
            <w:tcW w:w="1319"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开标日期：</w:t>
            </w:r>
          </w:p>
        </w:tc>
        <w:tc>
          <w:tcPr>
            <w:tcW w:w="3240"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cs="宋体"/>
                <w:kern w:val="0"/>
                <w:sz w:val="21"/>
                <w:szCs w:val="21"/>
                <w:u w:val="none" w:color="auto"/>
                <w:lang w:eastAsia="zh-CN"/>
              </w:rPr>
              <w:t>202</w:t>
            </w:r>
            <w:r>
              <w:rPr>
                <w:rFonts w:hint="eastAsia" w:ascii="宋体" w:hAnsi="宋体" w:cs="宋体"/>
                <w:kern w:val="0"/>
                <w:sz w:val="21"/>
                <w:szCs w:val="21"/>
                <w:u w:val="none" w:color="auto"/>
                <w:lang w:val="en-US" w:eastAsia="zh-CN"/>
              </w:rPr>
              <w:t>5</w:t>
            </w:r>
            <w:r>
              <w:rPr>
                <w:rFonts w:hint="eastAsia" w:ascii="宋体" w:hAnsi="宋体" w:cs="宋体"/>
                <w:kern w:val="0"/>
                <w:sz w:val="21"/>
                <w:szCs w:val="21"/>
                <w:u w:val="none" w:color="auto"/>
              </w:rPr>
              <w:t>年</w:t>
            </w:r>
            <w:r>
              <w:rPr>
                <w:rFonts w:hint="eastAsia" w:ascii="宋体" w:hAnsi="宋体" w:cs="宋体"/>
                <w:kern w:val="0"/>
                <w:sz w:val="21"/>
                <w:szCs w:val="21"/>
                <w:u w:val="none" w:color="auto"/>
                <w:lang w:val="en-US" w:eastAsia="zh-CN"/>
              </w:rPr>
              <w:t>8</w:t>
            </w:r>
            <w:r>
              <w:rPr>
                <w:rFonts w:hint="eastAsia" w:ascii="宋体" w:hAnsi="宋体" w:cs="宋体"/>
                <w:kern w:val="0"/>
                <w:sz w:val="21"/>
                <w:szCs w:val="21"/>
                <w:u w:val="none" w:color="auto"/>
              </w:rPr>
              <w:t>月</w:t>
            </w:r>
            <w:r>
              <w:rPr>
                <w:rFonts w:hint="eastAsia" w:ascii="宋体" w:hAnsi="宋体" w:cs="宋体"/>
                <w:kern w:val="0"/>
                <w:sz w:val="21"/>
                <w:szCs w:val="21"/>
                <w:u w:val="none" w:color="auto"/>
                <w:lang w:val="en-US" w:eastAsia="zh-CN"/>
              </w:rPr>
              <w:t>22</w:t>
            </w:r>
            <w:r>
              <w:rPr>
                <w:rFonts w:hint="eastAsia" w:ascii="宋体" w:hAnsi="宋体" w:cs="宋体"/>
                <w:kern w:val="0"/>
                <w:sz w:val="21"/>
                <w:szCs w:val="21"/>
                <w:u w:val="none" w:color="auto"/>
              </w:rPr>
              <w:t>日</w:t>
            </w:r>
            <w:r>
              <w:rPr>
                <w:rFonts w:hint="eastAsia" w:ascii="宋体" w:hAnsi="宋体" w:eastAsia="宋体" w:cs="宋体"/>
                <w:sz w:val="21"/>
                <w:szCs w:val="21"/>
                <w:highlight w:val="none"/>
                <w:u w:val="none"/>
              </w:rPr>
              <w:t xml:space="preserve">                 </w:t>
            </w:r>
          </w:p>
        </w:tc>
      </w:tr>
    </w:tbl>
    <w:p>
      <w:pPr>
        <w:tabs>
          <w:tab w:val="left" w:pos="12317"/>
        </w:tabs>
        <w:snapToGrid w:val="0"/>
        <w:spacing w:beforeLines="0" w:afterLines="0" w:line="24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第一条    名称、数量、价款</w:t>
      </w:r>
      <w:r>
        <w:rPr>
          <w:rFonts w:hint="eastAsia" w:ascii="宋体" w:hAnsi="宋体" w:eastAsia="宋体" w:cs="宋体"/>
          <w:sz w:val="21"/>
          <w:szCs w:val="21"/>
          <w:highlight w:val="none"/>
        </w:rPr>
        <w:tab/>
      </w:r>
    </w:p>
    <w:p>
      <w:pPr>
        <w:spacing w:beforeLines="0" w:afterLines="0" w:line="240" w:lineRule="auto"/>
        <w:ind w:firstLine="7452" w:firstLineChars="3549"/>
        <w:rPr>
          <w:rFonts w:hint="eastAsia" w:ascii="宋体" w:hAnsi="宋体" w:eastAsia="宋体" w:cs="宋体"/>
          <w:sz w:val="21"/>
          <w:szCs w:val="21"/>
          <w:highlight w:val="none"/>
        </w:rPr>
      </w:pPr>
      <w:r>
        <w:rPr>
          <w:rFonts w:hint="eastAsia" w:ascii="宋体" w:hAnsi="宋体" w:eastAsia="宋体" w:cs="宋体"/>
          <w:sz w:val="21"/>
          <w:szCs w:val="21"/>
          <w:highlight w:val="none"/>
        </w:rPr>
        <w:t>单位：元</w:t>
      </w:r>
    </w:p>
    <w:tbl>
      <w:tblPr>
        <w:tblStyle w:val="6"/>
        <w:tblW w:w="8767"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3"/>
        <w:gridCol w:w="5654"/>
        <w:gridCol w:w="568"/>
        <w:gridCol w:w="79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服务</w:t>
            </w:r>
            <w:r>
              <w:rPr>
                <w:rFonts w:hint="eastAsia" w:ascii="宋体" w:hAnsi="宋体" w:eastAsia="宋体" w:cs="宋体"/>
                <w:sz w:val="21"/>
                <w:szCs w:val="21"/>
                <w:highlight w:val="none"/>
              </w:rPr>
              <w:t>名称</w:t>
            </w:r>
          </w:p>
        </w:tc>
        <w:tc>
          <w:tcPr>
            <w:tcW w:w="5654"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服务内容</w:t>
            </w:r>
          </w:p>
        </w:tc>
        <w:tc>
          <w:tcPr>
            <w:tcW w:w="568"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数量</w:t>
            </w:r>
          </w:p>
        </w:tc>
        <w:tc>
          <w:tcPr>
            <w:tcW w:w="790"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单价</w:t>
            </w:r>
          </w:p>
        </w:tc>
        <w:tc>
          <w:tcPr>
            <w:tcW w:w="802"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24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953"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天津市西青区2025年高标准农田0.91万亩新建及改造提升项目验收服务</w:t>
            </w:r>
          </w:p>
        </w:tc>
        <w:tc>
          <w:tcPr>
            <w:tcW w:w="5654" w:type="dxa"/>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本项目验收服务为全过程验收，需进场开工后全过程跟踪，把控工程质量，主要服务内容为：</w:t>
            </w:r>
          </w:p>
          <w:p>
            <w:pPr>
              <w:spacing w:beforeLines="0" w:afterLines="0"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1.项目任务完成情况。对照项目实施计划批复（含调整变更、节余资金增做）、初步设计、施工合同等文件，全面检查验收项目建设任务完成情况等。</w:t>
            </w:r>
          </w:p>
          <w:p>
            <w:pPr>
              <w:spacing w:beforeLines="0" w:afterLines="0"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2.项目资金管理情况。对照农田建设专项资金使用管理有关规定，检查各级资金到位、资金使用、资金报账和拨付情况，检查项目专账核算、专人管理、入账手续以及支出凭证完整性等。</w:t>
            </w:r>
          </w:p>
          <w:p>
            <w:pPr>
              <w:spacing w:beforeLines="0" w:afterLines="0"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3.工程建设质量情况。对照项目设计要求，对</w:t>
            </w:r>
            <w:r>
              <w:rPr>
                <w:rFonts w:hint="eastAsia" w:ascii="宋体" w:hAnsi="宋体" w:cs="宋体"/>
                <w:sz w:val="21"/>
                <w:szCs w:val="21"/>
                <w:highlight w:val="none"/>
                <w:lang w:eastAsia="zh-CN"/>
              </w:rPr>
              <w:t>全部</w:t>
            </w:r>
            <w:r>
              <w:rPr>
                <w:rFonts w:hint="eastAsia" w:ascii="宋体" w:hAnsi="宋体" w:eastAsia="宋体" w:cs="宋体"/>
                <w:sz w:val="21"/>
                <w:szCs w:val="21"/>
                <w:highlight w:val="none"/>
              </w:rPr>
              <w:t>工程</w:t>
            </w:r>
            <w:r>
              <w:rPr>
                <w:rFonts w:hint="eastAsia" w:ascii="宋体" w:hAnsi="宋体" w:cs="宋体"/>
                <w:sz w:val="21"/>
                <w:szCs w:val="21"/>
                <w:highlight w:val="none"/>
                <w:lang w:eastAsia="zh-CN"/>
              </w:rPr>
              <w:t>逐个</w:t>
            </w:r>
            <w:r>
              <w:rPr>
                <w:rFonts w:hint="eastAsia" w:ascii="宋体" w:hAnsi="宋体" w:eastAsia="宋体" w:cs="宋体"/>
                <w:sz w:val="21"/>
                <w:szCs w:val="21"/>
                <w:highlight w:val="none"/>
              </w:rPr>
              <w:t>开展工程质量</w:t>
            </w:r>
            <w:r>
              <w:rPr>
                <w:rFonts w:hint="eastAsia" w:ascii="宋体" w:hAnsi="宋体" w:cs="宋体"/>
                <w:sz w:val="21"/>
                <w:szCs w:val="21"/>
                <w:highlight w:val="none"/>
                <w:lang w:eastAsia="zh-CN"/>
              </w:rPr>
              <w:t>验收</w:t>
            </w:r>
            <w:r>
              <w:rPr>
                <w:rFonts w:hint="eastAsia" w:ascii="宋体" w:hAnsi="宋体" w:eastAsia="宋体" w:cs="宋体"/>
                <w:sz w:val="21"/>
                <w:szCs w:val="21"/>
                <w:highlight w:val="none"/>
              </w:rPr>
              <w:t>，对</w:t>
            </w:r>
            <w:r>
              <w:rPr>
                <w:rFonts w:hint="eastAsia" w:ascii="宋体" w:hAnsi="宋体" w:cs="宋体"/>
                <w:sz w:val="21"/>
                <w:szCs w:val="21"/>
                <w:highlight w:val="none"/>
                <w:lang w:eastAsia="zh-CN"/>
              </w:rPr>
              <w:t>工程设施</w:t>
            </w:r>
            <w:r>
              <w:rPr>
                <w:rFonts w:hint="eastAsia" w:ascii="宋体" w:hAnsi="宋体" w:eastAsia="宋体" w:cs="宋体"/>
                <w:sz w:val="21"/>
                <w:szCs w:val="21"/>
                <w:highlight w:val="none"/>
              </w:rPr>
              <w:t>现场测试，检查运行状况等。</w:t>
            </w:r>
          </w:p>
          <w:p>
            <w:pPr>
              <w:spacing w:beforeLines="0" w:afterLines="0"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4.项目管理工作情况。检查项目招投标管理、合同管理、施工管理、监理工作和档案管理，工程竣工结算编制、项目竣工决算编制等情况。重点检查隐蔽工程、关键工序、</w:t>
            </w:r>
            <w:r>
              <w:rPr>
                <w:rFonts w:hint="eastAsia" w:ascii="宋体" w:hAnsi="宋体" w:cs="宋体"/>
                <w:sz w:val="21"/>
                <w:szCs w:val="21"/>
                <w:highlight w:val="none"/>
                <w:lang w:eastAsia="zh-CN"/>
              </w:rPr>
              <w:t>工程</w:t>
            </w:r>
            <w:r>
              <w:rPr>
                <w:rFonts w:hint="eastAsia" w:ascii="宋体" w:hAnsi="宋体" w:eastAsia="宋体" w:cs="宋体"/>
                <w:sz w:val="21"/>
                <w:szCs w:val="21"/>
                <w:highlight w:val="none"/>
              </w:rPr>
              <w:t>节点举牌验收工作开展情况等。核查项目信息备案、地块空间坐标上图入库等情况。</w:t>
            </w:r>
          </w:p>
          <w:p>
            <w:pPr>
              <w:spacing w:beforeLines="0" w:afterLines="0"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5.管护责任落实情况。检查工程管护移交手续、管护主体和管护责任落实情况、管护机制建立健全情况等。</w:t>
            </w:r>
          </w:p>
          <w:p>
            <w:pPr>
              <w:spacing w:beforeLines="0" w:afterLines="0"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6.其他需要验收的内容。</w:t>
            </w:r>
          </w:p>
        </w:tc>
        <w:tc>
          <w:tcPr>
            <w:tcW w:w="568" w:type="dxa"/>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79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lang w:val="en-US" w:eastAsia="zh-CN"/>
              </w:rPr>
              <w:t>00</w:t>
            </w:r>
          </w:p>
        </w:tc>
        <w:tc>
          <w:tcPr>
            <w:tcW w:w="802"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95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7012" w:type="dxa"/>
            <w:gridSpan w:val="3"/>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rPr>
            </w:pPr>
          </w:p>
        </w:tc>
        <w:tc>
          <w:tcPr>
            <w:tcW w:w="802"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line="24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8767" w:type="dxa"/>
            <w:gridSpan w:val="5"/>
            <w:tcBorders>
              <w:top w:val="single" w:color="auto" w:sz="4" w:space="0"/>
              <w:left w:val="single" w:color="000000" w:sz="4" w:space="0"/>
              <w:bottom w:val="single" w:color="000000" w:sz="4" w:space="0"/>
              <w:right w:val="single" w:color="000000" w:sz="4" w:space="0"/>
              <w:tl2br w:val="nil"/>
              <w:tr2bl w:val="nil"/>
            </w:tcBorders>
            <w:noWrap w:val="0"/>
            <w:vAlign w:val="top"/>
          </w:tcPr>
          <w:p>
            <w:pPr>
              <w:spacing w:beforeLines="0" w:afterLines="0"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合计人民币金额（大写）：</w:t>
            </w:r>
            <w:r>
              <w:rPr>
                <w:rFonts w:hint="eastAsia" w:ascii="宋体" w:hAnsi="宋体" w:cs="宋体"/>
                <w:sz w:val="21"/>
                <w:szCs w:val="21"/>
                <w:highlight w:val="none"/>
                <w:lang w:val="en-US" w:eastAsia="zh-CN"/>
              </w:rPr>
              <w:t>壹拾伍万贰仟</w:t>
            </w:r>
            <w:r>
              <w:rPr>
                <w:rFonts w:hint="eastAsia" w:ascii="宋体" w:hAnsi="宋体" w:eastAsia="宋体" w:cs="宋体"/>
                <w:sz w:val="21"/>
                <w:szCs w:val="21"/>
                <w:highlight w:val="none"/>
              </w:rPr>
              <w:t xml:space="preserve">元整 </w:t>
            </w:r>
          </w:p>
        </w:tc>
      </w:tr>
    </w:tbl>
    <w:p>
      <w:pPr>
        <w:numPr>
          <w:ilvl w:val="0"/>
          <w:numId w:val="0"/>
        </w:numPr>
        <w:tabs>
          <w:tab w:val="left" w:pos="5334"/>
        </w:tabs>
        <w:snapToGrid w:val="0"/>
        <w:spacing w:beforeLines="0" w:afterLines="0" w:line="240" w:lineRule="auto"/>
        <w:ind w:firstLine="421" w:firstLineChars="200"/>
        <w:rPr>
          <w:rFonts w:hint="eastAsia" w:ascii="宋体" w:hAnsi="宋体" w:eastAsia="宋体" w:cs="宋体"/>
          <w:b/>
          <w:sz w:val="21"/>
          <w:szCs w:val="21"/>
          <w:highlight w:val="none"/>
        </w:rPr>
      </w:pPr>
      <w:r>
        <w:rPr>
          <w:rFonts w:hint="eastAsia" w:ascii="宋体" w:hAnsi="宋体" w:cs="宋体"/>
          <w:b/>
          <w:sz w:val="21"/>
          <w:szCs w:val="21"/>
          <w:highlight w:val="none"/>
          <w:lang w:val="en-US" w:eastAsia="zh-CN"/>
        </w:rPr>
        <w:t xml:space="preserve">第二条   </w:t>
      </w:r>
      <w:r>
        <w:rPr>
          <w:rFonts w:hint="eastAsia" w:ascii="宋体" w:hAnsi="宋体" w:eastAsia="宋体" w:cs="宋体"/>
          <w:b/>
          <w:sz w:val="21"/>
          <w:szCs w:val="21"/>
          <w:highlight w:val="none"/>
          <w:lang w:val="zh-CN"/>
        </w:rPr>
        <w:t>报价要求</w:t>
      </w:r>
      <w:r>
        <w:rPr>
          <w:rFonts w:hint="eastAsia" w:ascii="宋体" w:hAnsi="宋体" w:eastAsia="宋体" w:cs="宋体"/>
          <w:b/>
          <w:sz w:val="21"/>
          <w:szCs w:val="21"/>
          <w:highlight w:val="none"/>
        </w:rPr>
        <w:t>：</w:t>
      </w:r>
    </w:p>
    <w:p>
      <w:pPr>
        <w:tabs>
          <w:tab w:val="left" w:pos="360"/>
        </w:tabs>
        <w:spacing w:beforeLines="0" w:afterLines="0" w:line="240" w:lineRule="auto"/>
        <w:ind w:firstLine="420" w:firstLineChars="200"/>
        <w:jc w:val="left"/>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single"/>
          <w:lang w:val="en-US" w:eastAsia="zh-CN"/>
        </w:rPr>
        <w:t>1.询比报价以人民币填列。</w:t>
      </w:r>
    </w:p>
    <w:p>
      <w:pPr>
        <w:tabs>
          <w:tab w:val="left" w:pos="360"/>
        </w:tabs>
        <w:spacing w:beforeLines="0" w:afterLines="0" w:line="240" w:lineRule="auto"/>
        <w:ind w:firstLine="420" w:firstLineChars="200"/>
        <w:jc w:val="left"/>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u w:val="single"/>
          <w:lang w:val="en-US" w:eastAsia="zh-CN"/>
        </w:rPr>
        <w:t>2.</w:t>
      </w:r>
      <w:r>
        <w:rPr>
          <w:rFonts w:hint="eastAsia" w:ascii="宋体" w:hAnsi="宋体" w:cs="宋体"/>
          <w:sz w:val="21"/>
          <w:szCs w:val="21"/>
          <w:highlight w:val="none"/>
          <w:u w:val="single"/>
          <w:lang w:val="en-US" w:eastAsia="zh-CN"/>
        </w:rPr>
        <w:t>供方</w:t>
      </w:r>
      <w:r>
        <w:rPr>
          <w:rFonts w:hint="eastAsia" w:ascii="宋体" w:hAnsi="宋体" w:eastAsia="宋体" w:cs="宋体"/>
          <w:sz w:val="21"/>
          <w:szCs w:val="21"/>
          <w:highlight w:val="none"/>
          <w:u w:val="single"/>
          <w:lang w:val="en-US" w:eastAsia="zh-CN"/>
        </w:rPr>
        <w:t>的报价应包括：人员工资、服务费用、税金等其他应有的费用。</w:t>
      </w:r>
      <w:r>
        <w:rPr>
          <w:rFonts w:hint="eastAsia" w:ascii="宋体" w:hAnsi="宋体" w:cs="宋体"/>
          <w:sz w:val="21"/>
          <w:szCs w:val="21"/>
          <w:highlight w:val="none"/>
          <w:u w:val="single"/>
          <w:lang w:val="en-US" w:eastAsia="zh-CN"/>
        </w:rPr>
        <w:t>供方</w:t>
      </w:r>
      <w:r>
        <w:rPr>
          <w:rFonts w:hint="eastAsia" w:ascii="宋体" w:hAnsi="宋体" w:eastAsia="宋体" w:cs="宋体"/>
          <w:sz w:val="21"/>
          <w:szCs w:val="21"/>
          <w:highlight w:val="none"/>
          <w:u w:val="single"/>
          <w:lang w:val="en-US" w:eastAsia="zh-CN"/>
        </w:rPr>
        <w:t>所报价格为完成询比文件全部服务要求的最终优惠价格。</w:t>
      </w:r>
    </w:p>
    <w:p>
      <w:pPr>
        <w:numPr>
          <w:ilvl w:val="0"/>
          <w:numId w:val="0"/>
        </w:numPr>
        <w:spacing w:beforeLines="0" w:afterLines="0" w:line="240" w:lineRule="auto"/>
        <w:ind w:left="420" w:leftChars="0"/>
        <w:rPr>
          <w:rFonts w:hint="eastAsia" w:ascii="宋体" w:hAnsi="宋体" w:eastAsia="宋体" w:cs="宋体"/>
          <w:sz w:val="21"/>
          <w:szCs w:val="21"/>
          <w:highlight w:val="none"/>
          <w:u w:val="single"/>
          <w:lang w:val="en-US" w:eastAsia="zh-CN"/>
        </w:rPr>
      </w:pPr>
      <w:r>
        <w:rPr>
          <w:rFonts w:hint="eastAsia" w:ascii="宋体" w:hAnsi="宋体" w:cs="宋体"/>
          <w:b/>
          <w:sz w:val="21"/>
          <w:szCs w:val="21"/>
          <w:highlight w:val="none"/>
          <w:lang w:val="en-US" w:eastAsia="zh-CN"/>
        </w:rPr>
        <w:t>第三条</w:t>
      </w:r>
      <w:r>
        <w:rPr>
          <w:rFonts w:hint="eastAsia" w:ascii="宋体" w:hAnsi="宋体" w:eastAsia="宋体" w:cs="宋体"/>
          <w:b/>
          <w:sz w:val="21"/>
          <w:szCs w:val="21"/>
          <w:highlight w:val="none"/>
        </w:rPr>
        <w:t xml:space="preserve">   服务要求：</w:t>
      </w:r>
      <w:bookmarkStart w:id="0" w:name="_Toc367883569"/>
      <w:bookmarkEnd w:id="0"/>
      <w:bookmarkStart w:id="1" w:name="_Toc413935014"/>
      <w:bookmarkEnd w:id="1"/>
      <w:bookmarkStart w:id="2" w:name="_Toc450763180"/>
      <w:bookmarkEnd w:id="2"/>
      <w:bookmarkStart w:id="3" w:name="_Toc449612278"/>
      <w:bookmarkEnd w:id="3"/>
      <w:bookmarkStart w:id="4" w:name="_Toc403830128"/>
      <w:bookmarkEnd w:id="4"/>
      <w:bookmarkStart w:id="5" w:name="_Toc435565805"/>
      <w:bookmarkEnd w:id="5"/>
      <w:bookmarkStart w:id="6" w:name="_Toc410309089"/>
      <w:bookmarkEnd w:id="6"/>
      <w:bookmarkStart w:id="7" w:name="_Toc360016443"/>
      <w:bookmarkEnd w:id="7"/>
      <w:bookmarkStart w:id="8" w:name="_Toc382732013"/>
      <w:bookmarkEnd w:id="8"/>
      <w:bookmarkStart w:id="9" w:name="_Toc16644"/>
      <w:bookmarkEnd w:id="9"/>
      <w:bookmarkStart w:id="10" w:name="_Toc448303093"/>
      <w:bookmarkEnd w:id="10"/>
      <w:bookmarkStart w:id="11" w:name="_Toc382658769"/>
      <w:bookmarkEnd w:id="11"/>
      <w:bookmarkStart w:id="12" w:name="_Toc20262"/>
      <w:bookmarkEnd w:id="12"/>
      <w:r>
        <w:rPr>
          <w:rFonts w:hint="eastAsia" w:ascii="宋体" w:hAnsi="宋体" w:cs="宋体"/>
          <w:sz w:val="21"/>
          <w:szCs w:val="21"/>
          <w:highlight w:val="none"/>
          <w:u w:val="single"/>
          <w:lang w:val="en-US" w:eastAsia="zh-CN"/>
        </w:rPr>
        <w:t>供方提供详细的服务费方案。</w:t>
      </w:r>
    </w:p>
    <w:p>
      <w:pPr>
        <w:spacing w:beforeLines="0" w:afterLines="0" w:line="240" w:lineRule="auto"/>
        <w:ind w:firstLine="421"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第四条    质量要求：</w:t>
      </w:r>
      <w:r>
        <w:rPr>
          <w:rFonts w:hint="eastAsia" w:ascii="宋体" w:hAnsi="宋体" w:eastAsia="宋体" w:cs="宋体"/>
          <w:sz w:val="21"/>
          <w:szCs w:val="21"/>
          <w:highlight w:val="none"/>
          <w:u w:val="single"/>
        </w:rPr>
        <w:t>严格按国家现行规范和质量评定标准检查验收。</w:t>
      </w:r>
    </w:p>
    <w:p>
      <w:pPr>
        <w:snapToGrid w:val="0"/>
        <w:spacing w:beforeLines="0" w:afterLines="0" w:line="240" w:lineRule="auto"/>
        <w:ind w:firstLine="421" w:firstLineChars="200"/>
        <w:rPr>
          <w:rFonts w:hint="eastAsia" w:ascii="宋体" w:hAnsi="宋体" w:eastAsia="宋体" w:cs="宋体"/>
          <w:sz w:val="21"/>
          <w:szCs w:val="21"/>
          <w:highlight w:val="none"/>
          <w:u w:val="single"/>
        </w:rPr>
      </w:pPr>
      <w:r>
        <w:rPr>
          <w:rFonts w:hint="eastAsia" w:ascii="宋体" w:hAnsi="宋体" w:eastAsia="宋体" w:cs="宋体"/>
          <w:b/>
          <w:sz w:val="21"/>
          <w:szCs w:val="21"/>
          <w:highlight w:val="none"/>
        </w:rPr>
        <w:t>第五条    服务期限：</w:t>
      </w:r>
      <w:r>
        <w:rPr>
          <w:rFonts w:hint="eastAsia" w:ascii="宋体" w:hAnsi="宋体" w:eastAsia="宋体" w:cs="宋体"/>
          <w:sz w:val="21"/>
          <w:szCs w:val="21"/>
          <w:highlight w:val="none"/>
          <w:u w:val="single"/>
        </w:rPr>
        <w:t>自协议签订之日起至本项目委托的咨询服务工作全部完成。</w:t>
      </w:r>
    </w:p>
    <w:p>
      <w:pPr>
        <w:snapToGrid w:val="0"/>
        <w:spacing w:beforeLines="0" w:afterLines="0" w:line="240" w:lineRule="auto"/>
        <w:ind w:firstLine="421" w:firstLineChars="200"/>
        <w:rPr>
          <w:rFonts w:hint="eastAsia" w:ascii="宋体" w:hAnsi="宋体" w:eastAsia="宋体" w:cs="宋体"/>
          <w:sz w:val="21"/>
          <w:szCs w:val="21"/>
          <w:highlight w:val="none"/>
          <w:u w:val="single"/>
        </w:rPr>
      </w:pPr>
      <w:r>
        <w:rPr>
          <w:rFonts w:hint="eastAsia" w:ascii="宋体" w:hAnsi="宋体" w:eastAsia="宋体" w:cs="宋体"/>
          <w:b/>
          <w:sz w:val="21"/>
          <w:szCs w:val="21"/>
          <w:highlight w:val="none"/>
        </w:rPr>
        <w:t>第六条    服务地点：</w:t>
      </w:r>
      <w:r>
        <w:rPr>
          <w:rFonts w:hint="eastAsia" w:ascii="宋体" w:hAnsi="宋体" w:eastAsia="宋体" w:cs="宋体"/>
          <w:sz w:val="21"/>
          <w:szCs w:val="21"/>
          <w:highlight w:val="none"/>
          <w:u w:val="single"/>
          <w:lang w:val="en-US" w:eastAsia="zh-CN"/>
        </w:rPr>
        <w:t>天津市西青区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pPr>
        <w:tabs>
          <w:tab w:val="left" w:pos="360"/>
        </w:tabs>
        <w:spacing w:beforeLines="0" w:afterLines="0" w:line="240" w:lineRule="auto"/>
        <w:ind w:firstLine="421" w:firstLineChars="200"/>
        <w:jc w:val="left"/>
        <w:rPr>
          <w:rFonts w:hint="default" w:ascii="宋体" w:hAnsi="宋体" w:eastAsia="宋体" w:cs="宋体"/>
          <w:sz w:val="21"/>
          <w:szCs w:val="21"/>
          <w:highlight w:val="none"/>
          <w:u w:val="single"/>
          <w:lang w:val="en-US" w:eastAsia="zh-CN"/>
        </w:rPr>
      </w:pPr>
      <w:r>
        <w:rPr>
          <w:rFonts w:hint="eastAsia" w:ascii="宋体" w:hAnsi="宋体" w:eastAsia="宋体" w:cs="宋体"/>
          <w:b/>
          <w:sz w:val="21"/>
          <w:szCs w:val="21"/>
          <w:highlight w:val="none"/>
        </w:rPr>
        <w:t>第七条    付款方式：</w:t>
      </w:r>
      <w:r>
        <w:rPr>
          <w:rFonts w:hint="eastAsia" w:ascii="宋体" w:hAnsi="宋体" w:cs="宋体"/>
          <w:b w:val="0"/>
          <w:bCs/>
          <w:sz w:val="21"/>
          <w:szCs w:val="21"/>
          <w:highlight w:val="none"/>
          <w:u w:val="single"/>
          <w:lang w:eastAsia="zh-CN"/>
        </w:rPr>
        <w:t>项目竣工验收合格后一次性支付。</w:t>
      </w:r>
      <w:r>
        <w:rPr>
          <w:rFonts w:hint="eastAsia" w:ascii="宋体" w:hAnsi="宋体" w:cs="宋体"/>
          <w:b w:val="0"/>
          <w:bCs/>
          <w:sz w:val="21"/>
          <w:szCs w:val="21"/>
          <w:highlight w:val="none"/>
          <w:u w:val="single"/>
          <w:lang w:val="en-US" w:eastAsia="zh-CN"/>
        </w:rPr>
        <w:t>付款前供方向需方提供合同全额增值税普通发票具体支付时间以财政拨付时间为准，因政府财政原因导致逾期付款不属于需方违约；</w:t>
      </w:r>
    </w:p>
    <w:p>
      <w:pPr>
        <w:tabs>
          <w:tab w:val="left" w:pos="360"/>
        </w:tabs>
        <w:spacing w:beforeLines="0" w:afterLines="0" w:line="240" w:lineRule="auto"/>
        <w:ind w:firstLine="421" w:firstLineChars="200"/>
        <w:rPr>
          <w:rFonts w:hint="eastAsia" w:ascii="宋体" w:hAnsi="宋体" w:cs="宋体"/>
          <w:b/>
          <w:kern w:val="0"/>
          <w:sz w:val="21"/>
          <w:szCs w:val="21"/>
          <w:lang w:val="en-US" w:eastAsia="zh-CN"/>
        </w:rPr>
      </w:pPr>
      <w:r>
        <w:rPr>
          <w:rFonts w:hint="eastAsia" w:ascii="宋体" w:hAnsi="宋体" w:cs="宋体"/>
          <w:b/>
          <w:kern w:val="0"/>
          <w:sz w:val="21"/>
          <w:szCs w:val="21"/>
          <w:lang w:val="en-US" w:eastAsia="zh-CN"/>
        </w:rPr>
        <w:t>第八条    验收方法及标准：</w:t>
      </w:r>
      <w:r>
        <w:rPr>
          <w:rFonts w:hint="eastAsia" w:ascii="宋体" w:hAnsi="宋体" w:eastAsia="宋体" w:cs="宋体"/>
          <w:sz w:val="21"/>
          <w:szCs w:val="21"/>
          <w:highlight w:val="none"/>
          <w:u w:val="single"/>
          <w:lang w:val="en-US" w:eastAsia="zh-CN"/>
        </w:rPr>
        <w:t>本项目由</w:t>
      </w:r>
      <w:r>
        <w:rPr>
          <w:rFonts w:hint="eastAsia" w:ascii="宋体" w:hAnsi="宋体" w:cs="宋体"/>
          <w:sz w:val="21"/>
          <w:szCs w:val="21"/>
          <w:highlight w:val="none"/>
          <w:u w:val="single"/>
          <w:lang w:val="en-US" w:eastAsia="zh-CN"/>
        </w:rPr>
        <w:t>需方</w:t>
      </w:r>
      <w:r>
        <w:rPr>
          <w:rFonts w:hint="eastAsia" w:ascii="宋体" w:hAnsi="宋体" w:eastAsia="宋体" w:cs="宋体"/>
          <w:sz w:val="21"/>
          <w:szCs w:val="21"/>
          <w:highlight w:val="none"/>
          <w:u w:val="single"/>
          <w:lang w:val="en-US" w:eastAsia="zh-CN"/>
        </w:rPr>
        <w:t>自行组织验收，也可委托招标采购代理机构组织验收。验收及相关费用由</w:t>
      </w:r>
      <w:r>
        <w:rPr>
          <w:rFonts w:hint="eastAsia" w:ascii="宋体" w:hAnsi="宋体" w:cs="宋体"/>
          <w:sz w:val="21"/>
          <w:szCs w:val="21"/>
          <w:highlight w:val="none"/>
          <w:u w:val="single"/>
          <w:lang w:val="en-US" w:eastAsia="zh-CN"/>
        </w:rPr>
        <w:t>供方</w:t>
      </w:r>
      <w:r>
        <w:rPr>
          <w:rFonts w:hint="eastAsia" w:ascii="宋体" w:hAnsi="宋体" w:eastAsia="宋体" w:cs="宋体"/>
          <w:sz w:val="21"/>
          <w:szCs w:val="21"/>
          <w:highlight w:val="none"/>
          <w:u w:val="single"/>
          <w:lang w:val="en-US" w:eastAsia="zh-CN"/>
        </w:rPr>
        <w:t>负责，特殊情况以</w:t>
      </w:r>
      <w:r>
        <w:rPr>
          <w:rFonts w:hint="eastAsia" w:ascii="宋体" w:hAnsi="宋体" w:cs="宋体"/>
          <w:sz w:val="21"/>
          <w:szCs w:val="21"/>
          <w:highlight w:val="none"/>
          <w:u w:val="single"/>
          <w:lang w:val="en-US" w:eastAsia="zh-CN"/>
        </w:rPr>
        <w:t>需方</w:t>
      </w:r>
      <w:r>
        <w:rPr>
          <w:rFonts w:hint="eastAsia" w:ascii="宋体" w:hAnsi="宋体" w:eastAsia="宋体" w:cs="宋体"/>
          <w:sz w:val="21"/>
          <w:szCs w:val="21"/>
          <w:highlight w:val="none"/>
          <w:u w:val="single"/>
          <w:lang w:val="en-US" w:eastAsia="zh-CN"/>
        </w:rPr>
        <w:t>与</w:t>
      </w:r>
      <w:r>
        <w:rPr>
          <w:rFonts w:hint="eastAsia" w:ascii="宋体" w:hAnsi="宋体" w:cs="宋体"/>
          <w:sz w:val="21"/>
          <w:szCs w:val="21"/>
          <w:highlight w:val="none"/>
          <w:u w:val="single"/>
          <w:lang w:val="en-US" w:eastAsia="zh-CN"/>
        </w:rPr>
        <w:t>供方</w:t>
      </w:r>
      <w:r>
        <w:rPr>
          <w:rFonts w:hint="eastAsia" w:ascii="宋体" w:hAnsi="宋体" w:eastAsia="宋体" w:cs="宋体"/>
          <w:sz w:val="21"/>
          <w:szCs w:val="21"/>
          <w:highlight w:val="none"/>
          <w:u w:val="single"/>
          <w:lang w:val="en-US" w:eastAsia="zh-CN"/>
        </w:rPr>
        <w:t>双方协商为准。</w:t>
      </w:r>
    </w:p>
    <w:p>
      <w:pPr>
        <w:tabs>
          <w:tab w:val="left" w:pos="360"/>
        </w:tabs>
        <w:spacing w:beforeLines="0" w:afterLines="0" w:line="240" w:lineRule="auto"/>
        <w:ind w:firstLine="421"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第</w:t>
      </w:r>
      <w:r>
        <w:rPr>
          <w:rFonts w:hint="eastAsia" w:ascii="宋体" w:hAnsi="宋体" w:cs="宋体"/>
          <w:b/>
          <w:sz w:val="21"/>
          <w:szCs w:val="21"/>
          <w:highlight w:val="none"/>
          <w:lang w:val="en-US" w:eastAsia="zh-CN"/>
        </w:rPr>
        <w:t>九</w:t>
      </w:r>
      <w:r>
        <w:rPr>
          <w:rFonts w:hint="eastAsia" w:ascii="宋体" w:hAnsi="宋体" w:eastAsia="宋体" w:cs="宋体"/>
          <w:b/>
          <w:sz w:val="21"/>
          <w:szCs w:val="21"/>
          <w:highlight w:val="none"/>
        </w:rPr>
        <w:t>条    违约责任：</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宋体" w:hAnsi="宋体" w:cs="宋体"/>
          <w:sz w:val="21"/>
          <w:szCs w:val="21"/>
          <w:highlight w:val="none"/>
          <w:u w:val="single"/>
          <w:lang w:val="en-US" w:eastAsia="zh-CN"/>
        </w:rPr>
        <w:t>1.质量验收失职违约</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宋体" w:hAnsi="宋体" w:cs="宋体"/>
          <w:sz w:val="21"/>
          <w:szCs w:val="21"/>
          <w:highlight w:val="none"/>
          <w:u w:val="single"/>
          <w:lang w:val="en-US" w:eastAsia="zh-CN"/>
        </w:rPr>
        <w:t>（1）违约情形</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①</w:t>
      </w:r>
      <w:r>
        <w:rPr>
          <w:rFonts w:hint="eastAsia" w:ascii="宋体" w:hAnsi="宋体" w:cs="宋体"/>
          <w:sz w:val="21"/>
          <w:szCs w:val="21"/>
          <w:highlight w:val="none"/>
          <w:u w:val="single"/>
          <w:lang w:val="en-US" w:eastAsia="zh-CN"/>
        </w:rPr>
        <w:t>未依据国家《高标准农田建设通则》（GB/T30600）、项目设计文件及合同约定的质量标准，对工程各项环节（如土地平整精度、灌溉排水系统功能）进行验收，导致不合格工程通过验收。</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②</w:t>
      </w:r>
      <w:r>
        <w:rPr>
          <w:rFonts w:hint="eastAsia" w:ascii="宋体" w:hAnsi="宋体" w:cs="宋体"/>
          <w:sz w:val="21"/>
          <w:szCs w:val="21"/>
          <w:highlight w:val="none"/>
          <w:u w:val="single"/>
          <w:lang w:val="en-US" w:eastAsia="zh-CN"/>
        </w:rPr>
        <w:t>验收过程中遗漏重要验收项目（如泵站运行测试、渠道抗渗性检测、农田工程设施安全性核查），或未采用规范检测方法（如未试压灌溉管网），造成质量隐患未被发现。</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③</w:t>
      </w:r>
      <w:r>
        <w:rPr>
          <w:rFonts w:hint="eastAsia" w:ascii="宋体" w:hAnsi="宋体" w:cs="宋体"/>
          <w:sz w:val="21"/>
          <w:szCs w:val="21"/>
          <w:highlight w:val="none"/>
          <w:u w:val="single"/>
          <w:lang w:val="en-US" w:eastAsia="zh-CN"/>
        </w:rPr>
        <w:t>明知工程存在质量问题，仍出具合格验收报告，或验收报告存在数据虚假、结论错误等情况。</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u w:val="single"/>
          <w:lang w:val="en-US" w:eastAsia="zh-CN"/>
        </w:rPr>
      </w:pPr>
      <w:r>
        <w:rPr>
          <w:rFonts w:hint="eastAsia" w:ascii="汉仪书宋二S" w:hAnsi="汉仪书宋二S" w:eastAsia="汉仪书宋二S" w:cs="汉仪书宋二S"/>
          <w:u w:val="single"/>
          <w:lang w:val="en-US" w:eastAsia="zh-CN"/>
        </w:rPr>
        <w:t>④供方验收合格后，上级部门验收中仍发现存在工程质量问题等情况。</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宋体" w:hAnsi="宋体" w:cs="宋体"/>
          <w:sz w:val="21"/>
          <w:szCs w:val="21"/>
          <w:highlight w:val="none"/>
          <w:u w:val="single"/>
          <w:lang w:val="en-US" w:eastAsia="zh-CN"/>
        </w:rPr>
        <w:t>（2）处罚标准</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①</w:t>
      </w:r>
      <w:r>
        <w:rPr>
          <w:rFonts w:hint="eastAsia" w:ascii="宋体" w:hAnsi="宋体" w:cs="宋体"/>
          <w:sz w:val="21"/>
          <w:szCs w:val="21"/>
          <w:highlight w:val="none"/>
          <w:u w:val="single"/>
          <w:lang w:val="en-US" w:eastAsia="zh-CN"/>
        </w:rPr>
        <w:t>发现失职：验收单位需在5日内无偿重新组织验收，承担重新验收产生的全部费用（检测费、人员差旅费）。</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②</w:t>
      </w:r>
      <w:r>
        <w:rPr>
          <w:rFonts w:hint="eastAsia" w:ascii="宋体" w:hAnsi="宋体" w:cs="宋体"/>
          <w:sz w:val="21"/>
          <w:szCs w:val="21"/>
          <w:highlight w:val="none"/>
          <w:u w:val="single"/>
          <w:lang w:val="en-US" w:eastAsia="zh-CN"/>
        </w:rPr>
        <w:t>累计</w:t>
      </w:r>
      <w:r>
        <w:rPr>
          <w:rFonts w:hint="default" w:ascii="宋体" w:hAnsi="宋体" w:cs="宋体"/>
          <w:sz w:val="21"/>
          <w:szCs w:val="21"/>
          <w:highlight w:val="none"/>
          <w:u w:val="single"/>
          <w:lang w:val="en" w:eastAsia="zh-CN"/>
        </w:rPr>
        <w:t>3</w:t>
      </w:r>
      <w:r>
        <w:rPr>
          <w:rFonts w:hint="eastAsia" w:ascii="宋体" w:hAnsi="宋体" w:cs="宋体"/>
          <w:sz w:val="21"/>
          <w:szCs w:val="21"/>
          <w:highlight w:val="none"/>
          <w:u w:val="single"/>
          <w:lang w:val="en" w:eastAsia="zh-CN"/>
        </w:rPr>
        <w:t>次</w:t>
      </w:r>
      <w:r>
        <w:rPr>
          <w:rFonts w:hint="eastAsia" w:ascii="宋体" w:hAnsi="宋体" w:cs="宋体"/>
          <w:sz w:val="21"/>
          <w:szCs w:val="21"/>
          <w:highlight w:val="none"/>
          <w:u w:val="single"/>
          <w:lang w:val="en-US" w:eastAsia="zh-CN"/>
        </w:rPr>
        <w:t>失职或出具虚假报告：需方至多扣除合同总验收费的20%，情节严重的需方有权单方解除合同。</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宋体" w:hAnsi="宋体" w:cs="宋体"/>
          <w:sz w:val="21"/>
          <w:szCs w:val="21"/>
          <w:highlight w:val="none"/>
          <w:u w:val="single"/>
          <w:lang w:val="en-US" w:eastAsia="zh-CN"/>
        </w:rPr>
        <w:t>2.工期验收延误违约</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宋体" w:hAnsi="宋体" w:cs="宋体"/>
          <w:sz w:val="21"/>
          <w:szCs w:val="21"/>
          <w:highlight w:val="none"/>
          <w:u w:val="single"/>
          <w:lang w:val="en-US" w:eastAsia="zh-CN"/>
        </w:rPr>
        <w:t>（1）违约情形</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①</w:t>
      </w:r>
      <w:r>
        <w:rPr>
          <w:rFonts w:hint="eastAsia" w:ascii="宋体" w:hAnsi="宋体" w:cs="宋体"/>
          <w:sz w:val="21"/>
          <w:szCs w:val="21"/>
          <w:highlight w:val="none"/>
          <w:u w:val="single"/>
          <w:lang w:val="en-US" w:eastAsia="zh-CN"/>
        </w:rPr>
        <w:t>收到需方或施工单位提交的验收申请及完整竣工资料后，未按合同约定时限（最长不超过15日）组织验收，且无合法延期理由（如不可抗力、资料需补充完善且补充时限不超过7日）。</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②</w:t>
      </w:r>
      <w:r>
        <w:rPr>
          <w:rFonts w:hint="eastAsia" w:ascii="宋体" w:hAnsi="宋体" w:cs="宋体"/>
          <w:sz w:val="21"/>
          <w:szCs w:val="21"/>
          <w:highlight w:val="none"/>
          <w:u w:val="single"/>
          <w:lang w:val="en-US" w:eastAsia="zh-CN"/>
        </w:rPr>
        <w:t>验收过程中无正当理由拖延验收流程（如无故推迟现场核查时间、逾期超过10日出具验收报告），导致工程无法按时交付使用或影响后续补贴申报。</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宋体" w:hAnsi="宋体" w:cs="宋体"/>
          <w:sz w:val="21"/>
          <w:szCs w:val="21"/>
          <w:highlight w:val="none"/>
          <w:u w:val="single"/>
          <w:lang w:val="en-US" w:eastAsia="zh-CN"/>
        </w:rPr>
        <w:t>（2）处罚标准</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①</w:t>
      </w:r>
      <w:r>
        <w:rPr>
          <w:rFonts w:hint="eastAsia" w:ascii="宋体" w:hAnsi="宋体" w:cs="宋体"/>
          <w:sz w:val="21"/>
          <w:szCs w:val="21"/>
          <w:highlight w:val="none"/>
          <w:u w:val="single"/>
          <w:lang w:val="en-US" w:eastAsia="zh-CN"/>
        </w:rPr>
        <w:t>验收组织逾期：每逾期一日，按1500元/日支付违约金；逾期超过10日的，额外扣减合同总验收费的20%。</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②</w:t>
      </w:r>
      <w:r>
        <w:rPr>
          <w:rFonts w:hint="eastAsia" w:ascii="宋体" w:hAnsi="宋体" w:cs="宋体"/>
          <w:sz w:val="21"/>
          <w:szCs w:val="21"/>
          <w:highlight w:val="none"/>
          <w:u w:val="single"/>
          <w:lang w:val="en-US" w:eastAsia="zh-CN"/>
        </w:rPr>
        <w:t>验收报告逾期：每逾期一日，按1000元/日支付违约金；因验收延误导致需方无法按时获取项目补贴或产生其他间接损失的，验收单位需按需方实际损失金额的80%承担连带赔偿责任。</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宋体" w:hAnsi="宋体" w:cs="宋体"/>
          <w:sz w:val="21"/>
          <w:szCs w:val="21"/>
          <w:highlight w:val="none"/>
          <w:u w:val="single"/>
          <w:lang w:val="en-US" w:eastAsia="zh-CN"/>
        </w:rPr>
        <w:t>3.资料审核失职违约</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宋体" w:hAnsi="宋体" w:cs="宋体"/>
          <w:sz w:val="21"/>
          <w:szCs w:val="21"/>
          <w:highlight w:val="none"/>
          <w:u w:val="single"/>
          <w:lang w:val="en-US" w:eastAsia="zh-CN"/>
        </w:rPr>
        <w:t>（1）违约情形</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①</w:t>
      </w:r>
      <w:r>
        <w:rPr>
          <w:rFonts w:hint="eastAsia" w:ascii="宋体" w:hAnsi="宋体" w:cs="宋体"/>
          <w:sz w:val="21"/>
          <w:szCs w:val="21"/>
          <w:highlight w:val="none"/>
          <w:u w:val="single"/>
          <w:lang w:val="en-US" w:eastAsia="zh-CN"/>
        </w:rPr>
        <w:t>未对施工单位提交的竣工资料（如竣工图纸、材料检测报告、隐蔽工程验收记录、监理报告）进行完整性、真实性审核，导致缺失关键资料（如土壤检测原始数据、灌溉工程试压记录）或虚假资料（如伪造的设备合格证书）通过审核，影响验收结论有效性。</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②</w:t>
      </w:r>
      <w:r>
        <w:rPr>
          <w:rFonts w:hint="eastAsia" w:ascii="宋体" w:hAnsi="宋体" w:cs="宋体"/>
          <w:sz w:val="21"/>
          <w:szCs w:val="21"/>
          <w:highlight w:val="none"/>
          <w:u w:val="single"/>
          <w:lang w:val="en-US" w:eastAsia="zh-CN"/>
        </w:rPr>
        <w:t>未按合同约定向需方提交完整的验收档案（含验收方案、检测记录、验收报告副本），或提交的档案存在破损、遗漏，导致后续项目归档、审计受阻。</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宋体" w:hAnsi="宋体" w:cs="宋体"/>
          <w:sz w:val="21"/>
          <w:szCs w:val="21"/>
          <w:highlight w:val="none"/>
          <w:u w:val="single"/>
          <w:lang w:val="en-US" w:eastAsia="zh-CN"/>
        </w:rPr>
        <w:t>（2）处罚标准</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①</w:t>
      </w:r>
      <w:r>
        <w:rPr>
          <w:rFonts w:hint="eastAsia" w:ascii="宋体" w:hAnsi="宋体" w:cs="宋体"/>
          <w:sz w:val="21"/>
          <w:szCs w:val="21"/>
          <w:highlight w:val="none"/>
          <w:u w:val="single"/>
          <w:lang w:val="en-US" w:eastAsia="zh-CN"/>
        </w:rPr>
        <w:t>资料审核失职：验收单位需在3日内补齐审核遗漏项或重新核查虚假资料，承担补核费用。</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②</w:t>
      </w:r>
      <w:r>
        <w:rPr>
          <w:rFonts w:hint="eastAsia" w:ascii="宋体" w:hAnsi="宋体" w:cs="宋体"/>
          <w:sz w:val="21"/>
          <w:szCs w:val="21"/>
          <w:highlight w:val="none"/>
          <w:u w:val="single"/>
          <w:lang w:val="en-US" w:eastAsia="zh-CN"/>
        </w:rPr>
        <w:t>验收档案提交违约：每逾期一日，按800元/日支付违约金；档案破损、遗漏导致无法归档的，需无偿重新整理提交，并扣减合同总验收费的10%。</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宋体" w:hAnsi="宋体" w:cs="宋体"/>
          <w:sz w:val="21"/>
          <w:szCs w:val="21"/>
          <w:highlight w:val="none"/>
          <w:u w:val="single"/>
          <w:lang w:val="en-US" w:eastAsia="zh-CN"/>
        </w:rPr>
        <w:t>4.串通或不当履职违约</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宋体" w:hAnsi="宋体" w:cs="宋体"/>
          <w:sz w:val="21"/>
          <w:szCs w:val="21"/>
          <w:highlight w:val="none"/>
          <w:u w:val="single"/>
          <w:lang w:val="en-US" w:eastAsia="zh-CN"/>
        </w:rPr>
        <w:t>（1）违约情形</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①</w:t>
      </w:r>
      <w:r>
        <w:rPr>
          <w:rFonts w:hint="eastAsia" w:ascii="宋体" w:hAnsi="宋体" w:cs="宋体"/>
          <w:sz w:val="21"/>
          <w:szCs w:val="21"/>
          <w:highlight w:val="none"/>
          <w:u w:val="single"/>
          <w:lang w:val="en-US" w:eastAsia="zh-CN"/>
        </w:rPr>
        <w:t>与施工单位、监理单位串通，隐瞒工程质量问题、缩短验收流程或篡改验收数据，损害需方或项目公共利益。</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②</w:t>
      </w:r>
      <w:r>
        <w:rPr>
          <w:rFonts w:hint="eastAsia" w:ascii="宋体" w:hAnsi="宋体" w:cs="宋体"/>
          <w:sz w:val="21"/>
          <w:szCs w:val="21"/>
          <w:highlight w:val="none"/>
          <w:u w:val="single"/>
          <w:lang w:val="en-US" w:eastAsia="zh-CN"/>
        </w:rPr>
        <w:t>利用验收职权索取、收受施工单位或第三方财物（含现金、礼品、有价证券），或接受不正当利益输送，影响验收公正性。</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③</w:t>
      </w:r>
      <w:r>
        <w:rPr>
          <w:rFonts w:hint="eastAsia" w:ascii="宋体" w:hAnsi="宋体" w:cs="宋体"/>
          <w:sz w:val="21"/>
          <w:szCs w:val="21"/>
          <w:highlight w:val="none"/>
          <w:u w:val="single"/>
          <w:lang w:val="en-US" w:eastAsia="zh-CN"/>
        </w:rPr>
        <w:t>未按合同约定委派具备相应资质的验收人员（如无农业工程类中级及以上职称、无高标准农田验收经验）参与验收，导致验收工作不符合规范要求。</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宋体" w:hAnsi="宋体" w:cs="宋体"/>
          <w:sz w:val="21"/>
          <w:szCs w:val="21"/>
          <w:highlight w:val="none"/>
          <w:u w:val="single"/>
          <w:lang w:val="en-US" w:eastAsia="zh-CN"/>
        </w:rPr>
        <w:t>（2）处罚标准</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①</w:t>
      </w:r>
      <w:r>
        <w:rPr>
          <w:rFonts w:hint="eastAsia" w:ascii="宋体" w:hAnsi="宋体" w:cs="宋体"/>
          <w:sz w:val="21"/>
          <w:szCs w:val="21"/>
          <w:highlight w:val="none"/>
          <w:u w:val="single"/>
          <w:lang w:val="en-US" w:eastAsia="zh-CN"/>
        </w:rPr>
        <w:t>串通或收受利益：需方有权立即解除合同，验收单位需向需方支付合同总验收费100%的违约金，返还已收取的全部验收费，并赔偿需方因重新组织验收、工程整改产生的全部损失；需方有权将其列入不良合作名单，永久禁止参与后续高标准农田项目验收。</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汉仪书宋二S" w:hAnsi="汉仪书宋二S" w:eastAsia="汉仪书宋二S" w:cs="汉仪书宋二S"/>
          <w:sz w:val="21"/>
          <w:szCs w:val="21"/>
          <w:highlight w:val="none"/>
          <w:u w:val="single"/>
          <w:lang w:val="en-US" w:eastAsia="zh-CN"/>
        </w:rPr>
        <w:t>②</w:t>
      </w:r>
      <w:r>
        <w:rPr>
          <w:rFonts w:hint="eastAsia" w:ascii="宋体" w:hAnsi="宋体" w:cs="宋体"/>
          <w:sz w:val="21"/>
          <w:szCs w:val="21"/>
          <w:highlight w:val="none"/>
          <w:u w:val="single"/>
          <w:lang w:val="en-US" w:eastAsia="zh-CN"/>
        </w:rPr>
        <w:t>委派不合格人员：验收单位需在2日内更换合格人员，承担人员更换产生的费用，并按每人次5000元支付违约金；若因人员不合格导致验收结论无效，需无偿重新验收，并扣减合同总验收费的25%。</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宋体" w:hAnsi="宋体" w:cs="宋体"/>
          <w:sz w:val="21"/>
          <w:szCs w:val="21"/>
          <w:highlight w:val="none"/>
          <w:u w:val="single"/>
          <w:lang w:val="en-US" w:eastAsia="zh-CN"/>
        </w:rPr>
        <w:t>5.违约金与损失赔偿衔接</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宋体" w:hAnsi="宋体" w:cs="宋体"/>
          <w:sz w:val="21"/>
          <w:szCs w:val="21"/>
          <w:highlight w:val="none"/>
          <w:u w:val="single"/>
          <w:lang w:val="en-US" w:eastAsia="zh-CN"/>
        </w:rPr>
        <w:t>（1）本条款约定的违约金不足以弥补需方实际损失（包括直接损失、间接损失、维权产生的诉讼费、律师费、鉴定费）的，验收单位需就不足部分补足赔偿。</w:t>
      </w:r>
    </w:p>
    <w:p>
      <w:pPr>
        <w:spacing w:beforeLines="0" w:afterLines="0" w:line="240" w:lineRule="auto"/>
        <w:ind w:firstLine="420" w:firstLineChars="200"/>
        <w:rPr>
          <w:rFonts w:hint="eastAsia" w:ascii="宋体" w:hAnsi="宋体" w:cs="宋体"/>
          <w:sz w:val="21"/>
          <w:szCs w:val="21"/>
          <w:highlight w:val="none"/>
          <w:u w:val="single"/>
          <w:lang w:val="en-US" w:eastAsia="zh-CN"/>
        </w:rPr>
      </w:pPr>
      <w:r>
        <w:rPr>
          <w:rFonts w:hint="eastAsia" w:ascii="宋体" w:hAnsi="宋体" w:cs="宋体"/>
          <w:sz w:val="21"/>
          <w:szCs w:val="21"/>
          <w:highlight w:val="none"/>
          <w:u w:val="single"/>
          <w:lang w:val="en-US" w:eastAsia="zh-CN"/>
        </w:rPr>
        <w:t>（2）验收单位多项违约的，违约金可累计计算，但累计违约金总额不超过合同总验收费的90%（因串通、收受利益违约导致的违约金除外）。</w:t>
      </w:r>
    </w:p>
    <w:p>
      <w:pPr>
        <w:pStyle w:val="2"/>
        <w:rPr>
          <w:rFonts w:hint="default"/>
          <w:lang w:val="en-US" w:eastAsia="zh-CN"/>
        </w:rPr>
      </w:pPr>
      <w:r>
        <w:rPr>
          <w:rFonts w:hint="eastAsia" w:ascii="宋体" w:hAnsi="宋体" w:cs="宋体"/>
          <w:sz w:val="21"/>
          <w:szCs w:val="21"/>
          <w:highlight w:val="none"/>
          <w:u w:val="single"/>
          <w:lang w:val="en-US" w:eastAsia="zh-CN"/>
        </w:rPr>
        <w:t>6.供方不得违反法律法规规定和本合同约定，否则构成违约，需方可解除合同，供方向需方支付合同总额的20%违约金，给需方造成损失的还应赔偿经济损失。</w:t>
      </w:r>
    </w:p>
    <w:p>
      <w:pPr>
        <w:spacing w:beforeLines="0" w:afterLines="0" w:line="240" w:lineRule="auto"/>
        <w:ind w:firstLine="421" w:firstLineChars="200"/>
        <w:rPr>
          <w:rFonts w:hint="eastAsia" w:ascii="宋体" w:hAnsi="宋体" w:eastAsia="宋体" w:cs="宋体"/>
          <w:sz w:val="21"/>
          <w:szCs w:val="21"/>
          <w:highlight w:val="none"/>
          <w:u w:val="single"/>
        </w:rPr>
      </w:pPr>
      <w:r>
        <w:rPr>
          <w:rFonts w:hint="eastAsia" w:ascii="宋体" w:hAnsi="宋体" w:eastAsia="宋体" w:cs="宋体"/>
          <w:b/>
          <w:sz w:val="21"/>
          <w:szCs w:val="21"/>
          <w:highlight w:val="none"/>
        </w:rPr>
        <w:t>第十条     合同争议的解决方式：</w:t>
      </w:r>
      <w:r>
        <w:rPr>
          <w:rFonts w:hint="eastAsia" w:ascii="宋体" w:hAnsi="宋体" w:eastAsia="宋体" w:cs="宋体"/>
          <w:sz w:val="21"/>
          <w:szCs w:val="21"/>
          <w:highlight w:val="none"/>
          <w:u w:val="single"/>
        </w:rPr>
        <w:t>本合同在履行过程中发生的争议，由双方当事人协商解决；也可由有关部门调解；协商或调解不成的，按下列第</w:t>
      </w:r>
      <w:r>
        <w:rPr>
          <w:rFonts w:hint="eastAsia" w:ascii="宋体" w:hAnsi="宋体" w:cs="宋体"/>
          <w:sz w:val="21"/>
          <w:szCs w:val="21"/>
          <w:highlight w:val="none"/>
          <w:u w:val="single"/>
          <w:lang w:val="en-US" w:eastAsia="zh-CN"/>
        </w:rPr>
        <w:t>2</w:t>
      </w:r>
      <w:r>
        <w:rPr>
          <w:rFonts w:hint="eastAsia" w:ascii="宋体" w:hAnsi="宋体" w:eastAsia="宋体" w:cs="宋体"/>
          <w:sz w:val="21"/>
          <w:szCs w:val="21"/>
          <w:highlight w:val="none"/>
          <w:u w:val="single"/>
        </w:rPr>
        <w:t>种方式解决。</w:t>
      </w:r>
    </w:p>
    <w:p>
      <w:pPr>
        <w:snapToGrid w:val="0"/>
        <w:spacing w:beforeLines="0" w:afterLines="0" w:line="240" w:lineRule="auto"/>
        <w:ind w:firstLine="420" w:firstLineChars="200"/>
        <w:rPr>
          <w:rFonts w:hint="eastAsia" w:ascii="宋体" w:hAnsi="宋体" w:eastAsia="宋体" w:cs="宋体"/>
          <w:sz w:val="21"/>
          <w:szCs w:val="21"/>
          <w:highlight w:val="none"/>
          <w:u w:val="single"/>
        </w:rPr>
      </w:pPr>
      <w:r>
        <w:rPr>
          <w:rFonts w:hint="eastAsia" w:ascii="宋体" w:hAnsi="宋体" w:cs="宋体"/>
          <w:sz w:val="21"/>
          <w:szCs w:val="21"/>
          <w:highlight w:val="none"/>
          <w:u w:val="single"/>
          <w:lang w:val="en-US" w:eastAsia="zh-CN"/>
        </w:rPr>
        <w:t>1.</w:t>
      </w:r>
      <w:r>
        <w:rPr>
          <w:rFonts w:hint="eastAsia" w:ascii="宋体" w:hAnsi="宋体" w:eastAsia="宋体" w:cs="宋体"/>
          <w:sz w:val="21"/>
          <w:szCs w:val="21"/>
          <w:highlight w:val="none"/>
          <w:u w:val="single"/>
        </w:rPr>
        <w:t>提交               仲裁委员会仲裁；</w:t>
      </w:r>
    </w:p>
    <w:p>
      <w:pPr>
        <w:snapToGrid w:val="0"/>
        <w:spacing w:beforeLines="0" w:afterLines="0" w:line="240" w:lineRule="auto"/>
        <w:ind w:firstLine="420" w:firstLineChars="200"/>
        <w:rPr>
          <w:rFonts w:hint="eastAsia" w:ascii="宋体" w:hAnsi="宋体" w:eastAsia="宋体" w:cs="宋体"/>
          <w:sz w:val="21"/>
          <w:szCs w:val="21"/>
          <w:highlight w:val="none"/>
          <w:u w:val="single"/>
        </w:rPr>
      </w:pPr>
      <w:r>
        <w:rPr>
          <w:rFonts w:hint="eastAsia" w:ascii="宋体" w:hAnsi="宋体" w:cs="宋体"/>
          <w:sz w:val="21"/>
          <w:szCs w:val="21"/>
          <w:highlight w:val="none"/>
          <w:u w:val="single"/>
          <w:lang w:val="en-US" w:eastAsia="zh-CN"/>
        </w:rPr>
        <w:t>2.</w:t>
      </w:r>
      <w:r>
        <w:rPr>
          <w:rFonts w:hint="eastAsia" w:ascii="宋体" w:hAnsi="宋体" w:eastAsia="宋体" w:cs="宋体"/>
          <w:sz w:val="21"/>
          <w:szCs w:val="21"/>
          <w:highlight w:val="none"/>
          <w:u w:val="single"/>
        </w:rPr>
        <w:t>依法向</w:t>
      </w:r>
      <w:r>
        <w:rPr>
          <w:rFonts w:hint="eastAsia" w:ascii="宋体" w:hAnsi="宋体" w:cs="宋体"/>
          <w:sz w:val="21"/>
          <w:szCs w:val="21"/>
          <w:highlight w:val="none"/>
          <w:u w:val="single"/>
          <w:lang w:val="en-US" w:eastAsia="zh-CN"/>
        </w:rPr>
        <w:t>需方所在地</w:t>
      </w:r>
      <w:r>
        <w:rPr>
          <w:rFonts w:hint="eastAsia" w:ascii="宋体" w:hAnsi="宋体" w:eastAsia="宋体" w:cs="宋体"/>
          <w:sz w:val="21"/>
          <w:szCs w:val="21"/>
          <w:highlight w:val="none"/>
          <w:u w:val="single"/>
        </w:rPr>
        <w:t>人民法院起诉。</w:t>
      </w:r>
    </w:p>
    <w:p>
      <w:pPr>
        <w:spacing w:beforeLines="0" w:afterLines="0" w:line="240" w:lineRule="auto"/>
        <w:ind w:firstLine="421" w:firstLineChars="200"/>
        <w:rPr>
          <w:rFonts w:hint="eastAsia" w:ascii="宋体" w:hAnsi="宋体" w:eastAsia="宋体" w:cs="宋体"/>
          <w:sz w:val="21"/>
          <w:szCs w:val="21"/>
          <w:highlight w:val="none"/>
          <w:u w:val="single"/>
        </w:rPr>
      </w:pPr>
      <w:r>
        <w:rPr>
          <w:rFonts w:hint="eastAsia" w:ascii="宋体" w:hAnsi="宋体" w:eastAsia="宋体" w:cs="宋体"/>
          <w:b/>
          <w:sz w:val="21"/>
          <w:szCs w:val="21"/>
          <w:highlight w:val="none"/>
        </w:rPr>
        <w:t>第十</w:t>
      </w:r>
      <w:r>
        <w:rPr>
          <w:rFonts w:hint="eastAsia" w:ascii="宋体" w:hAnsi="宋体" w:cs="宋体"/>
          <w:b/>
          <w:sz w:val="21"/>
          <w:szCs w:val="21"/>
          <w:highlight w:val="none"/>
          <w:lang w:val="en-US" w:eastAsia="zh-CN"/>
        </w:rPr>
        <w:t>一</w:t>
      </w:r>
      <w:r>
        <w:rPr>
          <w:rFonts w:hint="eastAsia" w:ascii="宋体" w:hAnsi="宋体" w:eastAsia="宋体" w:cs="宋体"/>
          <w:b/>
          <w:sz w:val="21"/>
          <w:szCs w:val="21"/>
          <w:highlight w:val="none"/>
        </w:rPr>
        <w:t>条  其他约定事项：</w:t>
      </w:r>
      <w:r>
        <w:rPr>
          <w:rFonts w:hint="eastAsia" w:ascii="宋体" w:hAnsi="宋体" w:eastAsia="宋体" w:cs="宋体"/>
          <w:sz w:val="21"/>
          <w:szCs w:val="21"/>
          <w:highlight w:val="none"/>
          <w:u w:val="single"/>
        </w:rPr>
        <w:t xml:space="preserve"> 本次供方的投标文件属于本合同一部分与本合同具有同等法律效力。</w:t>
      </w:r>
    </w:p>
    <w:p>
      <w:pPr>
        <w:spacing w:beforeLines="0" w:afterLines="0" w:line="24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相关附件是合同的组成部分,有关涉及本合同供方在招标现场提交的投标文件及有关澄清资料和服务承诺均视为本合同不可分割的一部分，对供方同样具有约束力与法律效力。</w:t>
      </w:r>
      <w:r>
        <w:rPr>
          <w:rFonts w:hint="eastAsia" w:ascii="宋体" w:hAnsi="宋体" w:cs="宋体"/>
          <w:sz w:val="21"/>
          <w:szCs w:val="21"/>
          <w:u w:val="single"/>
          <w:lang w:val="en-US" w:eastAsia="zh-CN"/>
        </w:rPr>
        <w:t>本合同未尽事宜，</w:t>
      </w:r>
      <w:r>
        <w:rPr>
          <w:rFonts w:hint="eastAsia" w:asciiTheme="minorEastAsia" w:hAnsiTheme="minorEastAsia" w:eastAsiaTheme="minorEastAsia" w:cstheme="minorEastAsia"/>
          <w:sz w:val="21"/>
          <w:szCs w:val="21"/>
          <w:u w:val="single"/>
          <w:lang w:eastAsia="zh-CN"/>
        </w:rPr>
        <w:t>供方</w:t>
      </w:r>
      <w:r>
        <w:rPr>
          <w:rFonts w:hint="eastAsia" w:asciiTheme="minorEastAsia" w:hAnsiTheme="minorEastAsia" w:eastAsiaTheme="minorEastAsia" w:cstheme="minorEastAsia"/>
          <w:sz w:val="21"/>
          <w:szCs w:val="21"/>
          <w:u w:val="single"/>
        </w:rPr>
        <w:t>和</w:t>
      </w:r>
      <w:r>
        <w:rPr>
          <w:rFonts w:hint="eastAsia" w:asciiTheme="minorEastAsia" w:hAnsiTheme="minorEastAsia" w:eastAsiaTheme="minorEastAsia" w:cstheme="minorEastAsia"/>
          <w:sz w:val="21"/>
          <w:szCs w:val="21"/>
          <w:u w:val="single"/>
          <w:lang w:eastAsia="zh-CN"/>
        </w:rPr>
        <w:t>需方</w:t>
      </w:r>
      <w:r>
        <w:rPr>
          <w:rFonts w:hint="eastAsia" w:asciiTheme="minorEastAsia" w:hAnsiTheme="minorEastAsia" w:eastAsiaTheme="minorEastAsia" w:cstheme="minorEastAsia"/>
          <w:sz w:val="21"/>
          <w:szCs w:val="21"/>
          <w:u w:val="single"/>
        </w:rPr>
        <w:t>根据</w:t>
      </w:r>
      <w:r>
        <w:rPr>
          <w:rFonts w:hint="eastAsia" w:asciiTheme="minorEastAsia" w:hAnsiTheme="minorEastAsia" w:eastAsiaTheme="minorEastAsia" w:cstheme="minorEastAsia"/>
          <w:sz w:val="21"/>
          <w:szCs w:val="21"/>
          <w:u w:val="single"/>
          <w:lang w:val="en-US" w:eastAsia="zh-CN"/>
        </w:rPr>
        <w:t>服务</w:t>
      </w:r>
      <w:r>
        <w:rPr>
          <w:rFonts w:hint="eastAsia" w:asciiTheme="minorEastAsia" w:hAnsiTheme="minorEastAsia" w:eastAsiaTheme="minorEastAsia" w:cstheme="minorEastAsia"/>
          <w:sz w:val="21"/>
          <w:szCs w:val="21"/>
          <w:u w:val="single"/>
        </w:rPr>
        <w:t>项目的具体情况协商拟订</w:t>
      </w:r>
      <w:r>
        <w:rPr>
          <w:rFonts w:hint="eastAsia" w:ascii="宋体" w:hAnsi="宋体" w:cs="宋体"/>
          <w:sz w:val="21"/>
          <w:szCs w:val="21"/>
          <w:u w:val="single"/>
          <w:lang w:val="en-US" w:eastAsia="zh-CN"/>
        </w:rPr>
        <w:t>。</w:t>
      </w:r>
    </w:p>
    <w:p>
      <w:pPr>
        <w:spacing w:beforeLines="0" w:afterLines="0" w:line="24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本合同共六份，需供双方各执二份，天津市津泽青诚项目管理有限公司执二份。</w:t>
      </w:r>
    </w:p>
    <w:p>
      <w:pP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br w:type="page"/>
      </w:r>
    </w:p>
    <w:p>
      <w:pPr>
        <w:pStyle w:val="2"/>
        <w:rPr>
          <w:rFonts w:hint="eastAsia"/>
        </w:rPr>
      </w:pPr>
    </w:p>
    <w:tbl>
      <w:tblPr>
        <w:tblStyle w:val="6"/>
        <w:tblW w:w="0" w:type="auto"/>
        <w:jc w:val="center"/>
        <w:tblLayout w:type="fixed"/>
        <w:tblCellMar>
          <w:top w:w="0" w:type="dxa"/>
          <w:left w:w="0" w:type="dxa"/>
          <w:bottom w:w="0" w:type="dxa"/>
          <w:right w:w="0" w:type="dxa"/>
        </w:tblCellMar>
      </w:tblPr>
      <w:tblGrid>
        <w:gridCol w:w="4361"/>
        <w:gridCol w:w="4291"/>
      </w:tblGrid>
      <w:tr>
        <w:tblPrEx>
          <w:tblCellMar>
            <w:top w:w="0" w:type="dxa"/>
            <w:left w:w="0" w:type="dxa"/>
            <w:bottom w:w="0" w:type="dxa"/>
            <w:right w:w="0" w:type="dxa"/>
          </w:tblCellMar>
        </w:tblPrEx>
        <w:trPr>
          <w:trHeight w:val="362" w:hRule="atLeast"/>
          <w:jc w:val="center"/>
        </w:trPr>
        <w:tc>
          <w:tcPr>
            <w:tcW w:w="4361" w:type="dxa"/>
            <w:tcBorders>
              <w:top w:val="single" w:color="000000" w:sz="4" w:space="0"/>
              <w:left w:val="single" w:color="000000" w:sz="4" w:space="0"/>
              <w:bottom w:val="single" w:color="000000" w:sz="4" w:space="0"/>
              <w:right w:val="single" w:color="000000" w:sz="4" w:space="0"/>
            </w:tcBorders>
            <w:noWrap w:val="0"/>
            <w:vAlign w:val="top"/>
          </w:tcPr>
          <w:p>
            <w:pPr>
              <w:pageBreakBefore w:val="0"/>
              <w:widowControl/>
              <w:kinsoku/>
              <w:wordWrap/>
              <w:overflowPunct/>
              <w:topLinePunct w:val="0"/>
              <w:autoSpaceDN/>
              <w:bidi w:val="0"/>
              <w:adjustRightInd/>
              <w:spacing w:line="360" w:lineRule="auto"/>
              <w:ind w:left="1440" w:hanging="1260" w:hangingChars="600"/>
              <w:jc w:val="left"/>
              <w:textAlignment w:val="baseline"/>
              <w:rPr>
                <w:rFonts w:ascii="宋体" w:cs="宋体"/>
                <w:sz w:val="21"/>
                <w:szCs w:val="21"/>
              </w:rPr>
            </w:pPr>
            <w:r>
              <w:rPr>
                <w:rFonts w:hint="eastAsia" w:ascii="宋体" w:hAnsi="宋体" w:cs="宋体"/>
                <w:kern w:val="0"/>
                <w:sz w:val="21"/>
                <w:szCs w:val="21"/>
              </w:rPr>
              <w:t>供方</w:t>
            </w:r>
            <w:r>
              <w:rPr>
                <w:rFonts w:hint="eastAsia" w:ascii="Times New Roman" w:hAnsi="Times New Roman"/>
                <w:kern w:val="0"/>
                <w:sz w:val="21"/>
                <w:szCs w:val="21"/>
              </w:rPr>
              <w:t>（章）：中正投（天津）项目管理有限公司</w:t>
            </w:r>
            <w:r>
              <w:rPr>
                <w:rFonts w:ascii="宋体" w:hAnsi="宋体" w:cs="宋体"/>
                <w:kern w:val="0"/>
                <w:sz w:val="21"/>
                <w:szCs w:val="21"/>
              </w:rPr>
              <w:t xml:space="preserve">  </w:t>
            </w:r>
          </w:p>
          <w:p>
            <w:pPr>
              <w:keepNext w:val="0"/>
              <w:keepLines w:val="0"/>
              <w:pageBreakBefore w:val="0"/>
              <w:widowControl/>
              <w:kinsoku/>
              <w:wordWrap/>
              <w:overflowPunct/>
              <w:topLinePunct w:val="0"/>
              <w:autoSpaceDE/>
              <w:autoSpaceDN/>
              <w:bidi w:val="0"/>
              <w:adjustRightInd/>
              <w:snapToGrid/>
              <w:spacing w:line="340" w:lineRule="exact"/>
              <w:jc w:val="left"/>
              <w:textAlignment w:val="baseline"/>
              <w:rPr>
                <w:rFonts w:hint="eastAsia" w:ascii="宋体" w:hAnsi="宋体" w:cs="宋体"/>
                <w:kern w:val="0"/>
                <w:sz w:val="21"/>
                <w:szCs w:val="21"/>
              </w:rPr>
            </w:pPr>
            <w:r>
              <w:rPr>
                <w:rFonts w:hint="eastAsia" w:ascii="宋体" w:hAnsi="宋体" w:cs="宋体"/>
                <w:kern w:val="0"/>
                <w:sz w:val="21"/>
                <w:szCs w:val="21"/>
              </w:rPr>
              <w:t>地址及电话：天津市西青区杨柳青镇柳口路98号鑫茂科技新能源新材料产业基地33号楼2门101-2</w:t>
            </w:r>
          </w:p>
          <w:p>
            <w:pPr>
              <w:pStyle w:val="2"/>
              <w:keepNext w:val="0"/>
              <w:keepLines w:val="0"/>
              <w:pageBreakBefore w:val="0"/>
              <w:kinsoku/>
              <w:wordWrap/>
              <w:overflowPunct/>
              <w:topLinePunct w:val="0"/>
              <w:autoSpaceDE/>
              <w:autoSpaceDN/>
              <w:bidi w:val="0"/>
              <w:adjustRightInd/>
              <w:snapToGrid/>
              <w:spacing w:line="340" w:lineRule="exact"/>
            </w:pPr>
            <w:r>
              <w:rPr>
                <w:rFonts w:hint="eastAsia"/>
                <w:lang w:val="en-US" w:eastAsia="zh-CN"/>
              </w:rPr>
              <w:t xml:space="preserve">            </w:t>
            </w:r>
            <w:r>
              <w:rPr>
                <w:rFonts w:hint="eastAsia"/>
              </w:rPr>
              <w:t>155</w:t>
            </w:r>
            <w:r>
              <w:rPr>
                <w:rFonts w:hint="eastAsia"/>
                <w:lang w:val="en-US" w:eastAsia="zh-CN"/>
              </w:rPr>
              <w:t>****</w:t>
            </w:r>
            <w:r>
              <w:rPr>
                <w:rFonts w:hint="eastAsia"/>
              </w:rPr>
              <w:t>6610</w:t>
            </w:r>
          </w:p>
          <w:p>
            <w:pPr>
              <w:pageBreakBefore w:val="0"/>
              <w:widowControl/>
              <w:kinsoku/>
              <w:wordWrap/>
              <w:overflowPunct/>
              <w:topLinePunct w:val="0"/>
              <w:autoSpaceDN/>
              <w:bidi w:val="0"/>
              <w:adjustRightInd/>
              <w:spacing w:line="360" w:lineRule="auto"/>
              <w:jc w:val="left"/>
              <w:textAlignment w:val="baseline"/>
              <w:rPr>
                <w:rFonts w:hint="eastAsia" w:ascii="宋体" w:eastAsia="宋体" w:cs="宋体"/>
                <w:sz w:val="21"/>
                <w:szCs w:val="21"/>
                <w:lang w:val="en-US" w:eastAsia="zh-CN"/>
              </w:rPr>
            </w:pPr>
            <w:r>
              <w:rPr>
                <w:rFonts w:hint="eastAsia" w:ascii="Times New Roman" w:hAnsi="Times New Roman"/>
                <w:kern w:val="0"/>
                <w:sz w:val="21"/>
                <w:szCs w:val="21"/>
              </w:rPr>
              <w:t>委托代理人：</w:t>
            </w:r>
            <w:r>
              <w:rPr>
                <w:rFonts w:hint="eastAsia"/>
                <w:kern w:val="0"/>
                <w:sz w:val="21"/>
                <w:szCs w:val="21"/>
                <w:lang w:val="en-US" w:eastAsia="zh-CN"/>
              </w:rPr>
              <w:t>/</w:t>
            </w:r>
          </w:p>
          <w:p>
            <w:pPr>
              <w:pageBreakBefore w:val="0"/>
              <w:widowControl/>
              <w:kinsoku/>
              <w:wordWrap/>
              <w:overflowPunct/>
              <w:topLinePunct w:val="0"/>
              <w:autoSpaceDN/>
              <w:bidi w:val="0"/>
              <w:adjustRightInd/>
              <w:spacing w:line="360" w:lineRule="auto"/>
              <w:jc w:val="left"/>
              <w:textAlignment w:val="baseline"/>
              <w:rPr>
                <w:rFonts w:hint="default" w:ascii="宋体" w:eastAsia="宋体" w:cs="宋体"/>
                <w:sz w:val="21"/>
                <w:szCs w:val="21"/>
                <w:lang w:val="en-US" w:eastAsia="zh-CN"/>
              </w:rPr>
            </w:pPr>
            <w:r>
              <w:rPr>
                <w:rFonts w:hint="eastAsia" w:ascii="宋体" w:hAnsi="宋体" w:cs="宋体"/>
                <w:kern w:val="0"/>
                <w:sz w:val="21"/>
                <w:szCs w:val="21"/>
              </w:rPr>
              <w:t>法定代表人：</w:t>
            </w:r>
            <w:r>
              <w:rPr>
                <w:rFonts w:hint="eastAsia" w:ascii="宋体" w:hAnsi="宋体" w:cs="宋体"/>
                <w:kern w:val="0"/>
                <w:sz w:val="21"/>
                <w:szCs w:val="21"/>
                <w:lang w:eastAsia="zh-CN"/>
              </w:rPr>
              <w:t>杨</w:t>
            </w:r>
            <w:r>
              <w:rPr>
                <w:rFonts w:hint="eastAsia" w:ascii="宋体" w:hAnsi="宋体" w:cs="宋体"/>
                <w:kern w:val="0"/>
                <w:sz w:val="21"/>
                <w:szCs w:val="21"/>
                <w:lang w:val="en-US" w:eastAsia="zh-CN"/>
              </w:rPr>
              <w:t>*</w:t>
            </w:r>
          </w:p>
          <w:p>
            <w:pPr>
              <w:pageBreakBefore w:val="0"/>
              <w:widowControl/>
              <w:kinsoku/>
              <w:wordWrap/>
              <w:overflowPunct/>
              <w:topLinePunct w:val="0"/>
              <w:autoSpaceDN/>
              <w:bidi w:val="0"/>
              <w:adjustRightInd/>
              <w:spacing w:line="360" w:lineRule="auto"/>
              <w:jc w:val="left"/>
              <w:textAlignment w:val="baseline"/>
              <w:rPr>
                <w:rFonts w:hint="eastAsia" w:ascii="宋体" w:eastAsia="宋体" w:cs="宋体"/>
                <w:sz w:val="21"/>
                <w:szCs w:val="21"/>
                <w:lang w:val="en-US" w:eastAsia="zh-CN"/>
              </w:rPr>
            </w:pPr>
            <w:r>
              <w:rPr>
                <w:rFonts w:hint="eastAsia" w:ascii="Times New Roman" w:hAnsi="Times New Roman"/>
                <w:kern w:val="0"/>
                <w:sz w:val="21"/>
                <w:szCs w:val="21"/>
              </w:rPr>
              <w:t>开户银行</w:t>
            </w:r>
            <w:r>
              <w:rPr>
                <w:rFonts w:hint="eastAsia" w:ascii="宋体" w:hAnsi="宋体" w:cs="宋体"/>
                <w:kern w:val="0"/>
                <w:sz w:val="21"/>
                <w:szCs w:val="21"/>
              </w:rPr>
              <w:t>及</w:t>
            </w:r>
            <w:r>
              <w:rPr>
                <w:rFonts w:hint="eastAsia" w:ascii="Times New Roman" w:hAnsi="Times New Roman"/>
                <w:kern w:val="0"/>
                <w:sz w:val="21"/>
                <w:szCs w:val="21"/>
              </w:rPr>
              <w:t>账号：</w:t>
            </w:r>
            <w:r>
              <w:rPr>
                <w:rFonts w:hint="eastAsia"/>
                <w:kern w:val="0"/>
                <w:sz w:val="21"/>
                <w:szCs w:val="21"/>
                <w:lang w:val="en-US" w:eastAsia="zh-CN"/>
              </w:rPr>
              <w:t>/</w:t>
            </w:r>
          </w:p>
          <w:p>
            <w:pPr>
              <w:pageBreakBefore w:val="0"/>
              <w:widowControl/>
              <w:kinsoku/>
              <w:wordWrap/>
              <w:overflowPunct/>
              <w:topLinePunct w:val="0"/>
              <w:autoSpaceDN/>
              <w:bidi w:val="0"/>
              <w:adjustRightInd/>
              <w:spacing w:line="360" w:lineRule="auto"/>
              <w:jc w:val="left"/>
              <w:textAlignment w:val="baseline"/>
              <w:rPr>
                <w:rFonts w:hint="eastAsia" w:ascii="宋体" w:eastAsia="宋体" w:cs="宋体"/>
                <w:sz w:val="21"/>
                <w:szCs w:val="21"/>
                <w:lang w:val="en-US" w:eastAsia="zh-CN"/>
              </w:rPr>
            </w:pPr>
            <w:r>
              <w:rPr>
                <w:rFonts w:hint="eastAsia" w:ascii="Times New Roman" w:hAnsi="Times New Roman"/>
                <w:kern w:val="0"/>
                <w:sz w:val="21"/>
                <w:szCs w:val="21"/>
              </w:rPr>
              <w:t>邮政编码：</w:t>
            </w:r>
            <w:r>
              <w:rPr>
                <w:rFonts w:hint="eastAsia"/>
                <w:kern w:val="0"/>
                <w:sz w:val="21"/>
                <w:szCs w:val="21"/>
                <w:lang w:val="en-US" w:eastAsia="zh-CN"/>
              </w:rPr>
              <w:t>/</w:t>
            </w:r>
          </w:p>
          <w:p>
            <w:pPr>
              <w:pageBreakBefore w:val="0"/>
              <w:widowControl/>
              <w:kinsoku/>
              <w:wordWrap/>
              <w:overflowPunct/>
              <w:topLinePunct w:val="0"/>
              <w:autoSpaceDN/>
              <w:bidi w:val="0"/>
              <w:adjustRightInd/>
              <w:spacing w:line="360" w:lineRule="auto"/>
              <w:jc w:val="left"/>
              <w:textAlignment w:val="baseline"/>
              <w:rPr>
                <w:rFonts w:hint="default" w:ascii="宋体" w:eastAsia="宋体" w:cs="宋体"/>
                <w:sz w:val="21"/>
                <w:szCs w:val="21"/>
                <w:lang w:val="en-US" w:eastAsia="zh-CN"/>
              </w:rPr>
            </w:pPr>
            <w:r>
              <w:rPr>
                <w:rFonts w:hint="eastAsia" w:ascii="宋体" w:hAnsi="宋体" w:cs="宋体"/>
                <w:kern w:val="0"/>
                <w:sz w:val="21"/>
                <w:szCs w:val="21"/>
              </w:rPr>
              <w:t>合同签订日期：</w:t>
            </w:r>
            <w:r>
              <w:rPr>
                <w:rFonts w:hint="eastAsia" w:ascii="宋体" w:hAnsi="宋体" w:cs="宋体"/>
                <w:kern w:val="0"/>
                <w:sz w:val="21"/>
                <w:szCs w:val="21"/>
                <w:lang w:val="en-US" w:eastAsia="zh-CN"/>
              </w:rPr>
              <w:t>2025.8.29</w:t>
            </w:r>
          </w:p>
        </w:tc>
        <w:tc>
          <w:tcPr>
            <w:tcW w:w="4291" w:type="dxa"/>
            <w:tcBorders>
              <w:top w:val="single" w:color="000000" w:sz="4" w:space="0"/>
              <w:left w:val="nil"/>
              <w:bottom w:val="single" w:color="000000" w:sz="4" w:space="0"/>
              <w:right w:val="single" w:color="000000" w:sz="4" w:space="0"/>
            </w:tcBorders>
            <w:noWrap w:val="0"/>
            <w:vAlign w:val="top"/>
          </w:tcPr>
          <w:p>
            <w:pPr>
              <w:pageBreakBefore w:val="0"/>
              <w:widowControl/>
              <w:kinsoku/>
              <w:wordWrap/>
              <w:overflowPunct/>
              <w:topLinePunct w:val="0"/>
              <w:autoSpaceDN/>
              <w:bidi w:val="0"/>
              <w:adjustRightInd/>
              <w:spacing w:line="360" w:lineRule="auto"/>
              <w:jc w:val="left"/>
              <w:textAlignment w:val="baseline"/>
              <w:rPr>
                <w:rFonts w:hint="eastAsia" w:ascii="Times New Roman" w:hAnsi="Times New Roman"/>
                <w:kern w:val="0"/>
                <w:sz w:val="21"/>
                <w:szCs w:val="21"/>
              </w:rPr>
            </w:pPr>
            <w:r>
              <w:rPr>
                <w:rFonts w:hint="eastAsia" w:ascii="宋体" w:hAnsi="宋体" w:cs="宋体"/>
                <w:kern w:val="0"/>
                <w:sz w:val="21"/>
                <w:szCs w:val="21"/>
              </w:rPr>
              <w:t>需方</w:t>
            </w:r>
            <w:r>
              <w:rPr>
                <w:rFonts w:hint="eastAsia" w:ascii="Times New Roman" w:hAnsi="Times New Roman"/>
                <w:kern w:val="0"/>
                <w:sz w:val="21"/>
                <w:szCs w:val="21"/>
              </w:rPr>
              <w:t>（章）：天津市西青区农业农村委员会</w:t>
            </w:r>
          </w:p>
          <w:p>
            <w:pPr>
              <w:pageBreakBefore w:val="0"/>
              <w:widowControl/>
              <w:kinsoku/>
              <w:wordWrap/>
              <w:overflowPunct/>
              <w:topLinePunct w:val="0"/>
              <w:autoSpaceDN/>
              <w:bidi w:val="0"/>
              <w:adjustRightInd/>
              <w:spacing w:line="360" w:lineRule="auto"/>
              <w:jc w:val="left"/>
              <w:textAlignment w:val="baseline"/>
              <w:rPr>
                <w:rFonts w:hint="eastAsia"/>
                <w:kern w:val="0"/>
                <w:sz w:val="21"/>
                <w:szCs w:val="21"/>
                <w:lang w:val="en-US" w:eastAsia="zh-CN"/>
              </w:rPr>
            </w:pPr>
            <w:r>
              <w:rPr>
                <w:rFonts w:hint="eastAsia" w:ascii="宋体" w:hAnsi="宋体" w:cs="宋体"/>
                <w:kern w:val="0"/>
                <w:sz w:val="21"/>
                <w:szCs w:val="21"/>
              </w:rPr>
              <w:t>地址及电话：</w:t>
            </w:r>
            <w:r>
              <w:rPr>
                <w:rFonts w:hint="default" w:ascii="Times New Roman" w:hAnsi="Times New Roman"/>
                <w:kern w:val="0"/>
                <w:sz w:val="21"/>
                <w:szCs w:val="21"/>
                <w:lang w:val="en-US" w:eastAsia="zh-CN"/>
              </w:rPr>
              <w:t>天津市西青区柳口路10号</w:t>
            </w:r>
            <w:r>
              <w:rPr>
                <w:rFonts w:hint="eastAsia"/>
                <w:kern w:val="0"/>
                <w:sz w:val="21"/>
                <w:szCs w:val="21"/>
                <w:lang w:val="en-US" w:eastAsia="zh-CN"/>
              </w:rPr>
              <w:t xml:space="preserve">                                                                                                                                                                                                                                                                             </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kern w:val="0"/>
                <w:sz w:val="21"/>
                <w:szCs w:val="21"/>
                <w:lang w:val="en-US" w:eastAsia="zh-CN"/>
              </w:rPr>
            </w:pPr>
            <w:r>
              <w:rPr>
                <w:rFonts w:hint="eastAsia"/>
                <w:kern w:val="0"/>
                <w:sz w:val="21"/>
                <w:szCs w:val="21"/>
                <w:lang w:val="en-US" w:eastAsia="zh-CN"/>
              </w:rPr>
              <w:t xml:space="preserve">            </w:t>
            </w:r>
            <w:r>
              <w:rPr>
                <w:rFonts w:hint="eastAsia" w:ascii="Times New Roman" w:hAnsi="Times New Roman"/>
                <w:kern w:val="0"/>
                <w:sz w:val="21"/>
                <w:szCs w:val="21"/>
                <w:lang w:val="en-US" w:eastAsia="zh-CN"/>
              </w:rPr>
              <w:t>022-279</w:t>
            </w:r>
            <w:r>
              <w:rPr>
                <w:rFonts w:hint="default" w:ascii="Times New Roman" w:hAnsi="Times New Roman"/>
                <w:kern w:val="0"/>
                <w:sz w:val="21"/>
                <w:szCs w:val="21"/>
                <w:lang w:val="en" w:eastAsia="zh-CN"/>
              </w:rPr>
              <w:t>25062</w:t>
            </w:r>
          </w:p>
          <w:p>
            <w:pPr>
              <w:pageBreakBefore w:val="0"/>
              <w:widowControl/>
              <w:kinsoku/>
              <w:wordWrap/>
              <w:overflowPunct/>
              <w:topLinePunct w:val="0"/>
              <w:autoSpaceDN/>
              <w:bidi w:val="0"/>
              <w:adjustRightInd/>
              <w:spacing w:line="360" w:lineRule="auto"/>
              <w:jc w:val="left"/>
              <w:textAlignment w:val="baseline"/>
              <w:rPr>
                <w:rFonts w:hint="eastAsia" w:ascii="Times New Roman" w:hAnsi="Times New Roman" w:eastAsia="宋体"/>
                <w:sz w:val="21"/>
                <w:szCs w:val="21"/>
                <w:lang w:val="en-US" w:eastAsia="zh-CN"/>
              </w:rPr>
            </w:pPr>
            <w:r>
              <w:rPr>
                <w:rFonts w:hint="eastAsia" w:ascii="Times New Roman" w:hAnsi="Times New Roman"/>
                <w:kern w:val="0"/>
                <w:sz w:val="21"/>
                <w:szCs w:val="21"/>
              </w:rPr>
              <w:t>委托代理人：</w:t>
            </w:r>
            <w:r>
              <w:rPr>
                <w:rFonts w:hint="eastAsia"/>
                <w:kern w:val="0"/>
                <w:sz w:val="21"/>
                <w:szCs w:val="21"/>
                <w:lang w:val="en-US" w:eastAsia="zh-CN"/>
              </w:rPr>
              <w:t>/</w:t>
            </w:r>
          </w:p>
          <w:p>
            <w:pPr>
              <w:pageBreakBefore w:val="0"/>
              <w:widowControl/>
              <w:kinsoku/>
              <w:wordWrap/>
              <w:overflowPunct/>
              <w:topLinePunct w:val="0"/>
              <w:autoSpaceDN/>
              <w:bidi w:val="0"/>
              <w:adjustRightInd/>
              <w:spacing w:line="360" w:lineRule="auto"/>
              <w:jc w:val="left"/>
              <w:textAlignment w:val="baseline"/>
              <w:rPr>
                <w:rFonts w:hint="default" w:ascii="宋体" w:eastAsia="宋体" w:cs="宋体"/>
                <w:sz w:val="21"/>
                <w:szCs w:val="21"/>
                <w:lang w:val="en-US" w:eastAsia="zh-CN"/>
              </w:rPr>
            </w:pPr>
            <w:r>
              <w:rPr>
                <w:rFonts w:hint="eastAsia" w:ascii="宋体" w:hAnsi="宋体" w:cs="宋体"/>
                <w:kern w:val="0"/>
                <w:sz w:val="21"/>
                <w:szCs w:val="21"/>
              </w:rPr>
              <w:t>法定代表人：</w:t>
            </w:r>
            <w:r>
              <w:rPr>
                <w:rFonts w:hint="eastAsia" w:ascii="宋体" w:hAnsi="宋体" w:cs="宋体"/>
                <w:kern w:val="0"/>
                <w:sz w:val="21"/>
                <w:szCs w:val="21"/>
                <w:lang w:eastAsia="zh-CN"/>
              </w:rPr>
              <w:t>林</w:t>
            </w:r>
            <w:r>
              <w:rPr>
                <w:rFonts w:hint="eastAsia" w:ascii="宋体" w:hAnsi="宋体" w:cs="宋体"/>
                <w:kern w:val="0"/>
                <w:sz w:val="21"/>
                <w:szCs w:val="21"/>
                <w:lang w:val="en-US" w:eastAsia="zh-CN"/>
              </w:rPr>
              <w:t>**</w:t>
            </w:r>
          </w:p>
          <w:p>
            <w:pPr>
              <w:pageBreakBefore w:val="0"/>
              <w:widowControl/>
              <w:kinsoku/>
              <w:wordWrap/>
              <w:overflowPunct/>
              <w:topLinePunct w:val="0"/>
              <w:autoSpaceDN/>
              <w:bidi w:val="0"/>
              <w:adjustRightInd/>
              <w:spacing w:line="360" w:lineRule="auto"/>
              <w:jc w:val="left"/>
              <w:textAlignment w:val="baseline"/>
              <w:rPr>
                <w:rFonts w:hint="eastAsia" w:ascii="Times New Roman" w:hAnsi="Times New Roman" w:eastAsia="宋体"/>
                <w:sz w:val="21"/>
                <w:szCs w:val="21"/>
                <w:lang w:val="en-US" w:eastAsia="zh-CN"/>
              </w:rPr>
            </w:pPr>
            <w:r>
              <w:rPr>
                <w:rFonts w:hint="eastAsia" w:ascii="Times New Roman" w:hAnsi="Times New Roman"/>
                <w:kern w:val="0"/>
                <w:sz w:val="21"/>
                <w:szCs w:val="21"/>
              </w:rPr>
              <w:t>开户银行</w:t>
            </w:r>
            <w:r>
              <w:rPr>
                <w:rFonts w:hint="eastAsia" w:ascii="宋体" w:hAnsi="宋体" w:cs="宋体"/>
                <w:kern w:val="0"/>
                <w:sz w:val="21"/>
                <w:szCs w:val="21"/>
              </w:rPr>
              <w:t>及</w:t>
            </w:r>
            <w:r>
              <w:rPr>
                <w:rFonts w:hint="eastAsia" w:ascii="Times New Roman" w:hAnsi="Times New Roman"/>
                <w:kern w:val="0"/>
                <w:sz w:val="21"/>
                <w:szCs w:val="21"/>
              </w:rPr>
              <w:t>账号：</w:t>
            </w:r>
            <w:r>
              <w:rPr>
                <w:rFonts w:hint="eastAsia"/>
                <w:kern w:val="0"/>
                <w:sz w:val="21"/>
                <w:szCs w:val="21"/>
                <w:lang w:val="en-US" w:eastAsia="zh-CN"/>
              </w:rPr>
              <w:t>/</w:t>
            </w:r>
          </w:p>
          <w:p>
            <w:pPr>
              <w:pageBreakBefore w:val="0"/>
              <w:widowControl/>
              <w:kinsoku/>
              <w:wordWrap/>
              <w:overflowPunct/>
              <w:topLinePunct w:val="0"/>
              <w:autoSpaceDN/>
              <w:bidi w:val="0"/>
              <w:adjustRightInd/>
              <w:spacing w:line="360" w:lineRule="auto"/>
              <w:jc w:val="left"/>
              <w:textAlignment w:val="baseline"/>
              <w:rPr>
                <w:rFonts w:hint="eastAsia" w:ascii="宋体" w:eastAsia="宋体" w:cs="宋体"/>
                <w:sz w:val="21"/>
                <w:szCs w:val="21"/>
                <w:lang w:val="en-US" w:eastAsia="zh-CN"/>
              </w:rPr>
            </w:pPr>
            <w:r>
              <w:rPr>
                <w:rFonts w:hint="eastAsia" w:ascii="Times New Roman" w:hAnsi="Times New Roman"/>
                <w:kern w:val="0"/>
                <w:sz w:val="21"/>
                <w:szCs w:val="21"/>
              </w:rPr>
              <w:t>邮政编码：</w:t>
            </w:r>
            <w:r>
              <w:rPr>
                <w:rFonts w:hint="eastAsia"/>
                <w:kern w:val="0"/>
                <w:sz w:val="21"/>
                <w:szCs w:val="21"/>
                <w:lang w:val="en-US" w:eastAsia="zh-CN"/>
              </w:rPr>
              <w:t>/</w:t>
            </w:r>
          </w:p>
          <w:p>
            <w:pPr>
              <w:pageBreakBefore w:val="0"/>
              <w:widowControl/>
              <w:kinsoku/>
              <w:wordWrap/>
              <w:overflowPunct/>
              <w:topLinePunct w:val="0"/>
              <w:autoSpaceDN/>
              <w:bidi w:val="0"/>
              <w:adjustRightInd/>
              <w:spacing w:line="360" w:lineRule="auto"/>
              <w:jc w:val="left"/>
              <w:textAlignment w:val="baseline"/>
              <w:rPr>
                <w:rFonts w:ascii="宋体" w:cs="宋体"/>
                <w:sz w:val="21"/>
                <w:szCs w:val="21"/>
              </w:rPr>
            </w:pPr>
            <w:r>
              <w:rPr>
                <w:rFonts w:hint="eastAsia" w:ascii="宋体" w:hAnsi="宋体" w:cs="宋体"/>
                <w:kern w:val="0"/>
                <w:sz w:val="21"/>
                <w:szCs w:val="21"/>
              </w:rPr>
              <w:t>合同签订日期：</w:t>
            </w:r>
            <w:r>
              <w:rPr>
                <w:rFonts w:hint="eastAsia" w:ascii="宋体" w:hAnsi="宋体" w:cs="宋体"/>
                <w:kern w:val="0"/>
                <w:sz w:val="21"/>
                <w:szCs w:val="21"/>
                <w:lang w:val="en-US" w:eastAsia="zh-CN"/>
              </w:rPr>
              <w:t>2025.8.29</w:t>
            </w:r>
          </w:p>
        </w:tc>
      </w:tr>
    </w:tbl>
    <w:p>
      <w:pPr>
        <w:rPr>
          <w:rFonts w:hint="eastAsia" w:ascii="宋体" w:hAnsi="宋体" w:eastAsia="宋体" w:cs="宋体"/>
          <w:sz w:val="21"/>
          <w:szCs w:val="21"/>
          <w:highlight w:val="none"/>
        </w:rPr>
      </w:pPr>
      <w:r>
        <w:rPr>
          <w:rFonts w:hint="eastAsia" w:ascii="宋体" w:hAnsi="宋体" w:eastAsia="宋体" w:cs="宋体"/>
          <w:sz w:val="21"/>
          <w:szCs w:val="21"/>
          <w:highlight w:val="none"/>
        </w:rPr>
        <w:t>监制部门：天津市津泽青诚项目管理有限公司印制单位：天津市津泽青诚项目管理有限公司</w:t>
      </w:r>
    </w:p>
    <w:p>
      <w:pPr>
        <w:pStyle w:val="2"/>
        <w:jc w:val="left"/>
      </w:pPr>
      <w:bookmarkStart w:id="13" w:name="_GoBack"/>
      <w:bookmarkEnd w:id="13"/>
    </w:p>
    <w:sectPr>
      <w:headerReference r:id="rId3" w:type="default"/>
      <w:pgSz w:w="11906" w:h="16838"/>
      <w:pgMar w:top="87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汉仪书宋二S">
    <w:altName w:val="宋体"/>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PowerPlusWaterMarkObject22444" o:spid="_x0000_s4097" o:spt="136" type="#_x0000_t136" style="position:absolute;left:0pt;height:144.5pt;width:442.7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采购合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YmExNWE2NjkzZGFhNWM2MTUwZDhlNDBkZGVkYmYifQ=="/>
  </w:docVars>
  <w:rsids>
    <w:rsidRoot w:val="00000000"/>
    <w:rsid w:val="00AA36EB"/>
    <w:rsid w:val="01687517"/>
    <w:rsid w:val="051A6F74"/>
    <w:rsid w:val="0844396F"/>
    <w:rsid w:val="12347D9F"/>
    <w:rsid w:val="12CA76EB"/>
    <w:rsid w:val="13C54541"/>
    <w:rsid w:val="18385C5A"/>
    <w:rsid w:val="1D7D3C0D"/>
    <w:rsid w:val="204F4BF2"/>
    <w:rsid w:val="2A54421C"/>
    <w:rsid w:val="2D250CBD"/>
    <w:rsid w:val="39FA3D41"/>
    <w:rsid w:val="3FF5C26E"/>
    <w:rsid w:val="3FFBDDDD"/>
    <w:rsid w:val="40724826"/>
    <w:rsid w:val="43064C3C"/>
    <w:rsid w:val="4E623105"/>
    <w:rsid w:val="4FBFFF83"/>
    <w:rsid w:val="55BFB77A"/>
    <w:rsid w:val="55C01BF1"/>
    <w:rsid w:val="62D04C9C"/>
    <w:rsid w:val="631E0354"/>
    <w:rsid w:val="63F52262"/>
    <w:rsid w:val="6FDD2AAD"/>
    <w:rsid w:val="716B31A7"/>
    <w:rsid w:val="7AC34438"/>
    <w:rsid w:val="7CFE969F"/>
    <w:rsid w:val="7F975E7A"/>
    <w:rsid w:val="ED75F120"/>
    <w:rsid w:val="FEF77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720" w:lineRule="auto"/>
      <w:jc w:val="center"/>
      <w:outlineLvl w:val="0"/>
    </w:pPr>
    <w:rPr>
      <w:b/>
      <w:bCs/>
      <w:kern w:val="44"/>
      <w:sz w:val="28"/>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首行缩进"/>
    <w:basedOn w:val="1"/>
    <w:qFormat/>
    <w:uiPriority w:val="0"/>
    <w:pPr>
      <w:spacing w:line="360" w:lineRule="auto"/>
      <w:ind w:firstLine="480" w:firstLineChars="200"/>
    </w:pPr>
    <w:rPr>
      <w:rFonts w:asciiTheme="minorHAnsi" w:hAnsiTheme="minorHAnsi" w:cstheme="minorBidi"/>
      <w:sz w:val="24"/>
      <w:szCs w:val="2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2998</Words>
  <Characters>3098</Characters>
  <Lines>0</Lines>
  <Paragraphs>0</Paragraphs>
  <TotalTime>20</TotalTime>
  <ScaleCrop>false</ScaleCrop>
  <LinksUpToDate>false</LinksUpToDate>
  <CharactersWithSpaces>3275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2023-05-26T03:03:00Z</dcterms:created>
  <dc:creator>Administrator</dc:creator>
  <cp:lastModifiedBy>greatwall</cp:lastModifiedBy>
  <cp:lastPrinted>2025-08-28T19:12:00Z</cp:lastPrinted>
  <dcterms:modified xsi:type="dcterms:W3CDTF">2025-09-23T09:13:46Z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F2A579EED614469D91A4C203C6657E7B_13</vt:lpwstr>
  </property>
  <property fmtid="{D5CDD505-2E9C-101B-9397-08002B2CF9AE}" pid="4" name="KSOTemplateDocerSaveRecord">
    <vt:lpwstr>eyJoZGlkIjoiZTZlYTIyM2Y4NjA1OGE4MTQ4ZGQ1NzBjNzhjZWYxYjciLCJ1c2VySWQiOiIyNDYzODM0ODgifQ==</vt:lpwstr>
  </property>
</Properties>
</file>