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71"/>
        </w:tabs>
        <w:spacing w:line="580" w:lineRule="exact"/>
        <w:jc w:val="right"/>
        <w:rPr>
          <w:rFonts w:hint="eastAsia" w:eastAsia="仿宋_GB2312"/>
          <w:sz w:val="32"/>
        </w:rPr>
      </w:pPr>
    </w:p>
    <w:p>
      <w:pPr>
        <w:spacing w:line="540" w:lineRule="exact"/>
        <w:jc w:val="right"/>
        <w:rPr>
          <w:rFonts w:hint="eastAsia" w:eastAsia="仿宋_GB2312"/>
          <w:sz w:val="32"/>
        </w:rPr>
      </w:pPr>
    </w:p>
    <w:p>
      <w:pPr>
        <w:spacing w:line="580" w:lineRule="exact"/>
        <w:jc w:val="right"/>
        <w:rPr>
          <w:rFonts w:hint="eastAsia" w:eastAsia="仿宋_GB2312"/>
          <w:sz w:val="32"/>
        </w:rPr>
      </w:pPr>
    </w:p>
    <w:p>
      <w:pPr>
        <w:keepNext/>
        <w:keepLines/>
        <w:jc w:val="center"/>
        <w:outlineLvl w:val="1"/>
        <w:rPr>
          <w:rFonts w:hint="eastAsia" w:ascii="长城大标宋体" w:hAnsi="Arial" w:eastAsia="长城大标宋体"/>
          <w:color w:val="FF0000"/>
          <w:sz w:val="80"/>
          <w:szCs w:val="80"/>
        </w:rPr>
      </w:pPr>
      <w:r>
        <w:rPr>
          <w:rFonts w:hint="eastAsia" w:ascii="长城大标宋体" w:hAnsi="Arial" w:eastAsia="长城大标宋体"/>
          <w:color w:val="FF0000"/>
          <w:spacing w:val="1"/>
          <w:w w:val="90"/>
          <w:kern w:val="0"/>
          <w:sz w:val="80"/>
          <w:szCs w:val="80"/>
          <w:fitText w:val="8000" w:id="1056913758"/>
        </w:rPr>
        <w:t>天津市</w:t>
      </w:r>
      <w:r>
        <w:rPr>
          <w:rFonts w:hint="eastAsia" w:ascii="长城大标宋体" w:hAnsi="Arial" w:eastAsia="长城大标宋体"/>
          <w:color w:val="FF0000"/>
          <w:spacing w:val="1"/>
          <w:w w:val="90"/>
          <w:kern w:val="0"/>
          <w:sz w:val="80"/>
          <w:szCs w:val="80"/>
          <w:fitText w:val="8000" w:id="1056913758"/>
          <w:lang w:eastAsia="zh-CN"/>
        </w:rPr>
        <w:t>西青区</w:t>
      </w:r>
      <w:r>
        <w:rPr>
          <w:rFonts w:hint="eastAsia" w:ascii="长城大标宋体" w:hAnsi="Arial" w:eastAsia="长城大标宋体"/>
          <w:color w:val="FF0000"/>
          <w:spacing w:val="1"/>
          <w:w w:val="90"/>
          <w:kern w:val="0"/>
          <w:sz w:val="80"/>
          <w:szCs w:val="80"/>
          <w:fitText w:val="8000" w:id="1056913758"/>
        </w:rPr>
        <w:t>审计局文</w:t>
      </w:r>
      <w:r>
        <w:rPr>
          <w:rFonts w:hint="eastAsia" w:ascii="长城大标宋体" w:hAnsi="Arial" w:eastAsia="长城大标宋体"/>
          <w:color w:val="FF0000"/>
          <w:spacing w:val="37"/>
          <w:w w:val="90"/>
          <w:kern w:val="0"/>
          <w:sz w:val="80"/>
          <w:szCs w:val="80"/>
          <w:fitText w:val="8000" w:id="1056913758"/>
        </w:rPr>
        <w:t>件</w:t>
      </w:r>
    </w:p>
    <w:p>
      <w:pPr>
        <w:spacing w:line="300" w:lineRule="exact"/>
        <w:rPr>
          <w:rFonts w:hint="eastAsia" w:eastAsia="仿宋_GB2312"/>
          <w:sz w:val="32"/>
        </w:rPr>
      </w:pPr>
    </w:p>
    <w:p>
      <w:pPr>
        <w:spacing w:line="300" w:lineRule="exact"/>
        <w:rPr>
          <w:rFonts w:hint="eastAsia" w:eastAsia="仿宋_GB2312"/>
          <w:sz w:val="32"/>
        </w:rPr>
      </w:pPr>
    </w:p>
    <w:p>
      <w:pPr>
        <w:pBdr>
          <w:bottom w:val="single" w:color="FF0000" w:sz="18" w:space="8"/>
        </w:pBdr>
        <w:spacing w:line="400" w:lineRule="exact"/>
        <w:jc w:val="center"/>
        <w:rPr>
          <w:rFonts w:eastAsia="仿宋_GB2312"/>
          <w:sz w:val="32"/>
        </w:rPr>
      </w:pPr>
      <w:r>
        <w:rPr>
          <w:rFonts w:hint="eastAsia" w:eastAsia="仿宋_GB2312"/>
          <w:sz w:val="32"/>
          <w:lang w:eastAsia="zh-CN"/>
        </w:rPr>
        <w:t>西青审法</w:t>
      </w:r>
      <w:r>
        <w:rPr>
          <w:rFonts w:hint="eastAsia" w:eastAsia="仿宋_GB2312"/>
          <w:sz w:val="32"/>
        </w:rPr>
        <w:t>〔20</w:t>
      </w:r>
      <w:r>
        <w:rPr>
          <w:rFonts w:hint="eastAsia" w:eastAsia="仿宋_GB2312"/>
          <w:sz w:val="32"/>
          <w:lang w:eastAsia="zh-CN"/>
        </w:rPr>
        <w:t>2</w:t>
      </w:r>
      <w:r>
        <w:rPr>
          <w:rFonts w:hint="eastAsia" w:eastAsia="仿宋_GB2312"/>
          <w:sz w:val="32"/>
          <w:lang w:val="en-US" w:eastAsia="zh-CN"/>
        </w:rPr>
        <w:t>3</w:t>
      </w:r>
      <w:r>
        <w:rPr>
          <w:rFonts w:hint="eastAsia" w:eastAsia="仿宋_GB2312"/>
          <w:sz w:val="32"/>
        </w:rPr>
        <w:t>〕</w:t>
      </w:r>
      <w:r>
        <w:rPr>
          <w:rFonts w:hint="eastAsia" w:eastAsia="仿宋_GB2312"/>
          <w:sz w:val="32"/>
          <w:lang w:val="en-US" w:eastAsia="zh-CN"/>
        </w:rPr>
        <w:t>1</w:t>
      </w:r>
      <w:r>
        <w:rPr>
          <w:rFonts w:hint="eastAsia" w:eastAsia="仿宋_GB2312"/>
          <w:sz w:val="32"/>
        </w:rPr>
        <w:t>号</w:t>
      </w:r>
    </w:p>
    <w:p>
      <w:pPr>
        <w:pStyle w:val="11"/>
        <w:snapToGrid w:val="0"/>
        <w:spacing w:line="600" w:lineRule="exact"/>
        <w:rPr>
          <w:rFonts w:hint="eastAsia"/>
        </w:rPr>
      </w:pPr>
    </w:p>
    <w:p>
      <w:pPr>
        <w:snapToGrid w:val="0"/>
        <w:spacing w:line="600" w:lineRule="exact"/>
        <w:rPr>
          <w:rFonts w:hint="eastAsia" w:eastAsia="仿宋_GB2312"/>
          <w:sz w:val="32"/>
        </w:rPr>
      </w:pPr>
    </w:p>
    <w:p>
      <w:pPr>
        <w:spacing w:line="760" w:lineRule="exact"/>
        <w:jc w:val="center"/>
        <w:rPr>
          <w:rFonts w:ascii="文星标宋" w:hAnsi="文星标宋" w:eastAsia="文星标宋"/>
          <w:sz w:val="44"/>
        </w:rPr>
      </w:pPr>
      <w:r>
        <w:rPr>
          <w:rFonts w:ascii="文星标宋" w:hAnsi="文星标宋" w:eastAsia="文星标宋"/>
          <w:sz w:val="44"/>
        </w:rPr>
        <w:t>关于</w:t>
      </w:r>
      <w:r>
        <w:rPr>
          <w:rFonts w:hint="eastAsia" w:ascii="文星标宋" w:hAnsi="文星标宋" w:eastAsia="文星标宋"/>
          <w:sz w:val="44"/>
          <w:lang w:eastAsia="zh-CN"/>
        </w:rPr>
        <w:t>印发</w:t>
      </w:r>
      <w:r>
        <w:rPr>
          <w:rFonts w:ascii="文星标宋" w:hAnsi="文星标宋" w:eastAsia="文星标宋"/>
          <w:sz w:val="44"/>
        </w:rPr>
        <w:t>天津市</w:t>
      </w:r>
      <w:r>
        <w:rPr>
          <w:rFonts w:hint="eastAsia" w:ascii="文星标宋" w:hAnsi="文星标宋" w:eastAsia="文星标宋"/>
          <w:sz w:val="44"/>
          <w:lang w:eastAsia="zh-CN"/>
        </w:rPr>
        <w:t>西青区</w:t>
      </w:r>
      <w:r>
        <w:rPr>
          <w:rFonts w:ascii="文星标宋" w:hAnsi="文星标宋" w:eastAsia="文星标宋"/>
          <w:sz w:val="44"/>
        </w:rPr>
        <w:t>审计局</w:t>
      </w:r>
    </w:p>
    <w:p>
      <w:pPr>
        <w:spacing w:line="760" w:lineRule="exact"/>
        <w:jc w:val="center"/>
        <w:rPr>
          <w:rFonts w:hint="eastAsia" w:ascii="文星标宋" w:hAnsi="文星标宋" w:eastAsia="文星标宋"/>
          <w:sz w:val="44"/>
          <w:szCs w:val="44"/>
        </w:rPr>
      </w:pPr>
      <w:r>
        <w:rPr>
          <w:rFonts w:ascii="文星标宋" w:hAnsi="文星标宋" w:eastAsia="文星标宋"/>
          <w:sz w:val="44"/>
        </w:rPr>
        <w:t>普法责任清单的通知</w:t>
      </w:r>
    </w:p>
    <w:p>
      <w:pPr>
        <w:adjustRightInd w:val="0"/>
        <w:snapToGrid w:val="0"/>
        <w:spacing w:line="560" w:lineRule="exact"/>
        <w:rPr>
          <w:rFonts w:hint="eastAsia" w:eastAsia="仿宋_GB2312"/>
          <w:sz w:val="32"/>
        </w:rPr>
      </w:pPr>
    </w:p>
    <w:p>
      <w:pPr>
        <w:spacing w:line="560" w:lineRule="exact"/>
        <w:rPr>
          <w:rFonts w:hint="eastAsia" w:eastAsia="仿宋_GB2312"/>
          <w:color w:val="auto"/>
          <w:sz w:val="32"/>
          <w:szCs w:val="32"/>
        </w:rPr>
      </w:pPr>
      <w:bookmarkStart w:id="0" w:name="_GoBack"/>
      <w:r>
        <w:rPr>
          <w:rFonts w:hint="eastAsia" w:ascii="仿宋_GB2312" w:eastAsia="仿宋_GB2312"/>
          <w:color w:val="auto"/>
          <w:sz w:val="32"/>
          <w:szCs w:val="32"/>
          <w:lang w:eastAsia="zh-CN"/>
        </w:rPr>
        <w:t>局机关各部门、审计指导服务中心</w:t>
      </w:r>
      <w:r>
        <w:rPr>
          <w:rFonts w:hint="eastAsia" w:ascii="仿宋_GB2312" w:eastAsia="仿宋_GB2312"/>
          <w:color w:val="auto"/>
          <w:sz w:val="32"/>
          <w:szCs w:val="32"/>
          <w:lang w:val="en-US" w:eastAsia="zh-CN"/>
        </w:rPr>
        <w:t>：</w:t>
      </w:r>
    </w:p>
    <w:bookmarkEnd w:id="0"/>
    <w:p>
      <w:pPr>
        <w:tabs>
          <w:tab w:val="left" w:pos="7600"/>
          <w:tab w:val="left" w:pos="820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为进一步落实“谁执法谁普法”普法责任制</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eastAsia="zh-CN"/>
        </w:rPr>
        <w:t>西青区</w:t>
      </w:r>
      <w:r>
        <w:rPr>
          <w:rFonts w:hint="eastAsia" w:ascii="仿宋_GB2312" w:hAnsi="仿宋_GB2312" w:eastAsia="仿宋_GB2312" w:cs="仿宋_GB2312"/>
          <w:sz w:val="32"/>
          <w:szCs w:val="32"/>
        </w:rPr>
        <w:t>审计局普法责任清单》印发给你们，请认真贯彻执行。</w:t>
      </w:r>
    </w:p>
    <w:p>
      <w:pPr>
        <w:spacing w:line="560" w:lineRule="exact"/>
        <w:ind w:firstLine="64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附件：天津市</w:t>
      </w:r>
      <w:r>
        <w:rPr>
          <w:rFonts w:hint="eastAsia" w:ascii="仿宋_GB2312" w:hAnsi="仿宋_GB2312" w:eastAsia="仿宋_GB2312" w:cs="仿宋_GB2312"/>
          <w:sz w:val="32"/>
          <w:szCs w:val="32"/>
          <w:lang w:eastAsia="zh-CN"/>
        </w:rPr>
        <w:t>西青区</w:t>
      </w:r>
      <w:r>
        <w:rPr>
          <w:rFonts w:hint="eastAsia" w:ascii="仿宋_GB2312" w:hAnsi="仿宋_GB2312" w:eastAsia="仿宋_GB2312" w:cs="仿宋_GB2312"/>
          <w:sz w:val="32"/>
          <w:szCs w:val="32"/>
        </w:rPr>
        <w:t>审计局普法责任清单</w:t>
      </w:r>
    </w:p>
    <w:p>
      <w:pPr>
        <w:adjustRightInd w:val="0"/>
        <w:snapToGrid w:val="0"/>
        <w:spacing w:line="560" w:lineRule="exact"/>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p>
    <w:p>
      <w:pPr>
        <w:tabs>
          <w:tab w:val="left" w:pos="7655"/>
        </w:tabs>
        <w:adjustRightInd w:val="0"/>
        <w:snapToGrid w:val="0"/>
        <w:spacing w:line="560" w:lineRule="exact"/>
        <w:rPr>
          <w:rFonts w:hint="eastAsia" w:eastAsia="仿宋_GB2312"/>
          <w:sz w:val="32"/>
          <w:szCs w:val="32"/>
        </w:rPr>
      </w:pPr>
      <w:r>
        <w:rPr>
          <w:rFonts w:hint="eastAsia" w:ascii="仿宋_GB2312" w:eastAsia="仿宋_GB2312"/>
          <w:sz w:val="32"/>
          <w:szCs w:val="32"/>
        </w:rPr>
        <w:t xml:space="preserve">                                </w:t>
      </w:r>
      <w:r>
        <w:rPr>
          <w:rFonts w:hint="eastAsia" w:eastAsia="仿宋_GB2312"/>
          <w:sz w:val="32"/>
          <w:szCs w:val="32"/>
        </w:rPr>
        <w:t>20</w:t>
      </w:r>
      <w:r>
        <w:rPr>
          <w:rFonts w:hint="eastAsia" w:eastAsia="仿宋_GB2312"/>
          <w:sz w:val="32"/>
          <w:szCs w:val="32"/>
          <w:lang w:val="en-US" w:eastAsia="zh-CN"/>
        </w:rPr>
        <w:t>23</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w:t>
      </w:r>
    </w:p>
    <w:p>
      <w:pPr>
        <w:spacing w:line="560" w:lineRule="exact"/>
        <w:ind w:firstLine="630"/>
        <w:rPr>
          <w:rFonts w:hint="eastAsia" w:ascii="文星标宋" w:hAnsi="文星标宋" w:eastAsia="文星标宋" w:cs="文星标宋"/>
          <w:sz w:val="44"/>
          <w:szCs w:val="44"/>
        </w:rPr>
      </w:pPr>
      <w:r>
        <w:rPr>
          <w:rFonts w:hint="eastAsia" w:eastAsia="仿宋_GB2312"/>
          <w:sz w:val="32"/>
          <w:szCs w:val="32"/>
        </w:rPr>
        <w:t>（此件主动公开）</w:t>
      </w:r>
    </w:p>
    <w:p>
      <w:pPr>
        <w:spacing w:line="560" w:lineRule="exact"/>
        <w:jc w:val="left"/>
        <w:rPr>
          <w:rFonts w:hint="eastAsia" w:ascii="黑体" w:hAnsi="黑体" w:eastAsia="黑体" w:cs="Times New Roman"/>
          <w:sz w:val="32"/>
          <w:szCs w:val="32"/>
        </w:rPr>
      </w:pPr>
      <w:r>
        <w:rPr>
          <w:rFonts w:hint="eastAsia" w:ascii="黑体" w:hAnsi="黑体" w:eastAsia="黑体"/>
          <w:sz w:val="32"/>
          <w:szCs w:val="32"/>
        </w:rPr>
        <w:t>附件</w:t>
      </w:r>
    </w:p>
    <w:p>
      <w:pPr>
        <w:spacing w:line="560" w:lineRule="exact"/>
        <w:jc w:val="left"/>
        <w:rPr>
          <w:rFonts w:hint="eastAsia" w:ascii="黑体" w:hAnsi="黑体" w:eastAsia="黑体" w:cs="Times New Roman"/>
          <w:sz w:val="32"/>
          <w:szCs w:val="32"/>
        </w:rPr>
      </w:pPr>
    </w:p>
    <w:p>
      <w:pPr>
        <w:spacing w:line="520" w:lineRule="exact"/>
        <w:jc w:val="center"/>
        <w:rPr>
          <w:rFonts w:ascii="文星标宋" w:hAnsi="文星标宋" w:eastAsia="文星标宋"/>
          <w:sz w:val="44"/>
          <w:szCs w:val="44"/>
        </w:rPr>
      </w:pPr>
      <w:r>
        <w:rPr>
          <w:rFonts w:hint="default" w:ascii="文星标宋" w:hAnsi="文星标宋" w:eastAsia="文星标宋" w:cs="Times New Roman"/>
          <w:sz w:val="44"/>
          <w:szCs w:val="20"/>
        </w:rPr>
        <w:t>天津市</w:t>
      </w:r>
      <w:r>
        <w:rPr>
          <w:rFonts w:hint="eastAsia" w:ascii="文星标宋" w:hAnsi="文星标宋" w:eastAsia="文星标宋" w:cs="Times New Roman"/>
          <w:sz w:val="44"/>
          <w:szCs w:val="20"/>
          <w:lang w:eastAsia="zh-CN"/>
        </w:rPr>
        <w:t>西青区</w:t>
      </w:r>
      <w:r>
        <w:rPr>
          <w:rFonts w:hint="default" w:ascii="文星标宋" w:hAnsi="文星标宋" w:eastAsia="文星标宋" w:cs="Times New Roman"/>
          <w:sz w:val="44"/>
          <w:szCs w:val="20"/>
        </w:rPr>
        <w:t>审计局普法责任清单</w:t>
      </w:r>
    </w:p>
    <w:p>
      <w:pPr>
        <w:spacing w:line="520" w:lineRule="exact"/>
        <w:ind w:firstLine="640"/>
        <w:rPr>
          <w:rFonts w:hint="eastAsia" w:eastAsia="仿宋_GB2312"/>
          <w:color w:val="FF0000"/>
          <w:sz w:val="32"/>
          <w:szCs w:val="32"/>
        </w:rPr>
      </w:pPr>
    </w:p>
    <w:tbl>
      <w:tblPr>
        <w:tblStyle w:val="20"/>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979"/>
        <w:gridCol w:w="1081"/>
        <w:gridCol w:w="353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sz w:val="32"/>
                <w:szCs w:val="32"/>
              </w:rPr>
            </w:pPr>
            <w:r>
              <w:rPr>
                <w:rFonts w:hint="eastAsia" w:ascii="仿宋_GB2312" w:eastAsia="仿宋_GB2312" w:cs="仿宋_GB2312"/>
                <w:b/>
                <w:bCs/>
                <w:sz w:val="32"/>
                <w:szCs w:val="32"/>
              </w:rPr>
              <w:t>序号</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sz w:val="32"/>
                <w:szCs w:val="32"/>
              </w:rPr>
            </w:pPr>
            <w:r>
              <w:rPr>
                <w:rFonts w:hint="eastAsia" w:ascii="仿宋_GB2312" w:eastAsia="仿宋_GB2312" w:cs="仿宋_GB2312"/>
                <w:b/>
                <w:bCs/>
                <w:sz w:val="32"/>
                <w:szCs w:val="32"/>
              </w:rPr>
              <w:t>重点宣传的法律法规及重点任务</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sz w:val="32"/>
                <w:szCs w:val="32"/>
              </w:rPr>
            </w:pPr>
            <w:r>
              <w:rPr>
                <w:rFonts w:hint="eastAsia" w:ascii="仿宋_GB2312" w:eastAsia="仿宋_GB2312" w:cs="仿宋_GB2312"/>
                <w:b/>
                <w:bCs/>
                <w:sz w:val="32"/>
                <w:szCs w:val="32"/>
              </w:rPr>
              <w:t>普法对象</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sz w:val="32"/>
                <w:szCs w:val="32"/>
              </w:rPr>
            </w:pPr>
            <w:r>
              <w:rPr>
                <w:rFonts w:hint="eastAsia" w:ascii="仿宋_GB2312" w:eastAsia="仿宋_GB2312" w:cs="仿宋_GB2312"/>
                <w:b/>
                <w:bCs/>
                <w:sz w:val="32"/>
                <w:szCs w:val="32"/>
              </w:rPr>
              <w:t>预期目标</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32"/>
                <w:szCs w:val="32"/>
              </w:rPr>
            </w:pPr>
            <w:r>
              <w:rPr>
                <w:rFonts w:hint="eastAsia" w:ascii="仿宋_GB2312" w:eastAsia="仿宋_GB2312" w:cs="仿宋_GB2312"/>
                <w:b/>
                <w:bCs/>
                <w:sz w:val="32"/>
                <w:szCs w:val="32"/>
              </w:rPr>
              <w:t>完成</w:t>
            </w:r>
          </w:p>
          <w:p>
            <w:pPr>
              <w:jc w:val="center"/>
              <w:rPr>
                <w:rFonts w:hint="eastAsia" w:ascii="仿宋_GB2312" w:hAnsi="宋体" w:eastAsia="仿宋_GB2312"/>
                <w:b/>
                <w:bCs/>
                <w:sz w:val="32"/>
                <w:szCs w:val="32"/>
              </w:rPr>
            </w:pPr>
            <w:r>
              <w:rPr>
                <w:rFonts w:hint="eastAsia" w:ascii="仿宋_GB2312" w:eastAsia="仿宋_GB2312" w:cs="仿宋_GB2312"/>
                <w:b/>
                <w:bCs/>
                <w:sz w:val="32"/>
                <w:szCs w:val="3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_GB2312"/>
                <w:sz w:val="28"/>
                <w:szCs w:val="28"/>
              </w:rPr>
            </w:pPr>
            <w:r>
              <w:rPr>
                <w:rFonts w:eastAsia="仿宋_GB2312"/>
                <w:sz w:val="28"/>
                <w:szCs w:val="28"/>
              </w:rPr>
              <w:t>1</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宋体" w:eastAsia="仿宋_GB2312"/>
                <w:sz w:val="28"/>
                <w:szCs w:val="28"/>
                <w:lang w:eastAsia="zh-CN"/>
              </w:rPr>
            </w:pPr>
            <w:r>
              <w:rPr>
                <w:rFonts w:hint="eastAsia" w:ascii="仿宋_GB2312" w:eastAsia="仿宋_GB2312" w:cs="仿宋_GB2312"/>
                <w:sz w:val="28"/>
                <w:szCs w:val="28"/>
                <w:lang w:eastAsia="zh-CN"/>
              </w:rPr>
              <w:t>深入学习宣传贯彻习近平法治思想，</w:t>
            </w:r>
            <w:r>
              <w:rPr>
                <w:rFonts w:hint="eastAsia" w:ascii="仿宋_GB2312" w:eastAsia="仿宋_GB2312" w:cs="仿宋_GB2312"/>
                <w:sz w:val="28"/>
                <w:szCs w:val="28"/>
              </w:rPr>
              <w:t>全面贯彻落实中央全面依法治国工作会议和市委全面依法治市工作会议精神</w:t>
            </w:r>
            <w:r>
              <w:rPr>
                <w:rFonts w:hint="eastAsia" w:ascii="仿宋_GB2312" w:eastAsia="仿宋_GB2312" w:cs="仿宋_GB2312"/>
                <w:sz w:val="28"/>
                <w:szCs w:val="28"/>
                <w:lang w:eastAsia="zh-CN"/>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w w:val="100"/>
                <w:sz w:val="28"/>
                <w:szCs w:val="28"/>
              </w:rPr>
            </w:pPr>
            <w:r>
              <w:rPr>
                <w:rFonts w:hint="eastAsia" w:ascii="仿宋_GB2312" w:eastAsia="仿宋_GB2312" w:cs="仿宋_GB2312"/>
                <w:w w:val="100"/>
                <w:sz w:val="28"/>
                <w:szCs w:val="28"/>
              </w:rPr>
              <w:t>以全体审计人员为重点</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宋体" w:eastAsia="黑体"/>
                <w:sz w:val="28"/>
                <w:szCs w:val="28"/>
                <w:lang w:eastAsia="zh-CN"/>
              </w:rPr>
            </w:pPr>
            <w:r>
              <w:rPr>
                <w:rFonts w:hint="eastAsia" w:ascii="仿宋_GB2312" w:eastAsia="仿宋_GB2312" w:cs="仿宋_GB2312"/>
                <w:sz w:val="28"/>
                <w:szCs w:val="28"/>
              </w:rPr>
              <w:t>认真学习领会习近平法治思想的深刻内涵和重大意义</w:t>
            </w:r>
            <w:r>
              <w:rPr>
                <w:rFonts w:hint="eastAsia" w:ascii="仿宋_GB2312" w:eastAsia="仿宋_GB2312" w:cs="仿宋_GB2312"/>
                <w:sz w:val="28"/>
                <w:szCs w:val="28"/>
                <w:lang w:eastAsia="zh-CN"/>
              </w:rPr>
              <w:t>，</w:t>
            </w:r>
            <w:r>
              <w:rPr>
                <w:rFonts w:hint="eastAsia" w:ascii="仿宋_GB2312" w:eastAsia="仿宋_GB2312" w:cs="仿宋_GB2312"/>
                <w:sz w:val="28"/>
                <w:szCs w:val="28"/>
              </w:rPr>
              <w:t>切实把思想和行动统一到党中央全面依法治国重大决策部署上来，凝心聚力做好依法治市和审计法治建设各项工作</w:t>
            </w:r>
            <w:r>
              <w:rPr>
                <w:rFonts w:hint="eastAsia" w:ascii="仿宋_GB2312" w:eastAsia="仿宋_GB2312" w:cs="仿宋_GB2312"/>
                <w:sz w:val="28"/>
                <w:szCs w:val="28"/>
                <w:lang w:eastAsia="zh-CN"/>
              </w:rPr>
              <w:t>。</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8"/>
                <w:szCs w:val="28"/>
              </w:rPr>
            </w:pPr>
            <w:r>
              <w:rPr>
                <w:rFonts w:hint="eastAsia" w:ascii="仿宋_GB2312" w:eastAsia="仿宋_GB2312" w:cs="仿宋_GB2312"/>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_GB2312"/>
                <w:sz w:val="28"/>
                <w:szCs w:val="28"/>
              </w:rPr>
            </w:pPr>
            <w:r>
              <w:rPr>
                <w:rFonts w:eastAsia="仿宋_GB2312"/>
                <w:sz w:val="28"/>
                <w:szCs w:val="28"/>
              </w:rPr>
              <w:t>2</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宋体" w:eastAsia="仿宋_GB2312"/>
                <w:sz w:val="28"/>
                <w:szCs w:val="28"/>
              </w:rPr>
            </w:pPr>
            <w:r>
              <w:rPr>
                <w:rFonts w:hint="eastAsia" w:ascii="仿宋_GB2312" w:eastAsia="仿宋_GB2312" w:cs="仿宋_GB2312"/>
                <w:sz w:val="28"/>
                <w:szCs w:val="28"/>
              </w:rPr>
              <w:t>学习宣传宪法，从讲政治的高度把握学习</w:t>
            </w:r>
            <w:r>
              <w:rPr>
                <w:rFonts w:hint="eastAsia" w:ascii="仿宋_GB2312" w:eastAsia="仿宋_GB2312" w:cs="仿宋_GB2312"/>
                <w:sz w:val="28"/>
                <w:szCs w:val="28"/>
                <w:lang w:eastAsia="zh-CN"/>
              </w:rPr>
              <w:t>、</w:t>
            </w:r>
            <w:r>
              <w:rPr>
                <w:rFonts w:hint="eastAsia" w:ascii="仿宋_GB2312" w:eastAsia="仿宋_GB2312" w:cs="仿宋_GB2312"/>
                <w:sz w:val="28"/>
                <w:szCs w:val="28"/>
              </w:rPr>
              <w:t>宣传</w:t>
            </w:r>
            <w:r>
              <w:rPr>
                <w:rFonts w:hint="eastAsia" w:ascii="仿宋_GB2312" w:eastAsia="仿宋_GB2312" w:cs="仿宋_GB2312"/>
                <w:sz w:val="28"/>
                <w:szCs w:val="28"/>
                <w:lang w:eastAsia="zh-CN"/>
              </w:rPr>
              <w:t>、</w:t>
            </w:r>
            <w:r>
              <w:rPr>
                <w:rFonts w:hint="eastAsia" w:ascii="仿宋_GB2312" w:eastAsia="仿宋_GB2312" w:cs="仿宋_GB2312"/>
                <w:sz w:val="28"/>
                <w:szCs w:val="28"/>
              </w:rPr>
              <w:t>贯彻</w:t>
            </w:r>
            <w:r>
              <w:rPr>
                <w:rFonts w:hint="eastAsia" w:ascii="仿宋_GB2312" w:eastAsia="仿宋_GB2312" w:cs="仿宋_GB2312"/>
                <w:sz w:val="28"/>
                <w:szCs w:val="28"/>
                <w:lang w:eastAsia="zh-CN"/>
              </w:rPr>
              <w:t>、</w:t>
            </w:r>
            <w:r>
              <w:rPr>
                <w:rFonts w:hint="eastAsia" w:ascii="仿宋_GB2312" w:eastAsia="仿宋_GB2312" w:cs="仿宋_GB2312"/>
                <w:sz w:val="28"/>
                <w:szCs w:val="28"/>
              </w:rPr>
              <w:t>实施宪法的重要性，增强工作的政治自觉性、主动性和坚定性。把组织开展好宪法学习宣传教育作为一项重要政治任务来抓，认真落实党中央、国务院和市委、市政府对宪法学习宣传和贯彻实施提出的要求，组织开展好“12</w:t>
            </w:r>
            <w:r>
              <w:rPr>
                <w:rFonts w:hint="eastAsia" w:ascii="仿宋_GB2312" w:hAnsi="Times New Roman" w:eastAsia="仿宋_GB2312" w:cs="仿宋_GB2312"/>
                <w:sz w:val="28"/>
                <w:szCs w:val="28"/>
              </w:rPr>
              <w:t>•</w:t>
            </w:r>
            <w:r>
              <w:rPr>
                <w:rFonts w:hint="eastAsia" w:ascii="仿宋_GB2312" w:eastAsia="仿宋_GB2312" w:cs="仿宋_GB2312"/>
                <w:sz w:val="28"/>
                <w:szCs w:val="28"/>
              </w:rPr>
              <w:t>4”国家宪法日</w:t>
            </w:r>
            <w:r>
              <w:rPr>
                <w:rFonts w:hint="eastAsia" w:ascii="仿宋_GB2312" w:eastAsia="仿宋_GB2312" w:cs="仿宋_GB2312"/>
                <w:sz w:val="28"/>
                <w:szCs w:val="28"/>
                <w:lang w:eastAsia="zh-CN"/>
              </w:rPr>
              <w:t>、宪法宣传周</w:t>
            </w:r>
            <w:r>
              <w:rPr>
                <w:rFonts w:hint="eastAsia" w:ascii="仿宋_GB2312" w:eastAsia="仿宋_GB2312" w:cs="仿宋_GB2312"/>
                <w:sz w:val="28"/>
                <w:szCs w:val="28"/>
              </w:rPr>
              <w:t>主题宣传活动。</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w w:val="100"/>
                <w:sz w:val="28"/>
                <w:szCs w:val="28"/>
              </w:rPr>
              <w:t>以全体审计人员为重点</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仿宋_GB2312" w:hAnsi="宋体" w:eastAsia="仿宋_GB2312"/>
                <w:sz w:val="28"/>
                <w:szCs w:val="28"/>
              </w:rPr>
            </w:pPr>
            <w:r>
              <w:rPr>
                <w:rFonts w:hint="eastAsia" w:ascii="仿宋_GB2312" w:eastAsia="仿宋_GB2312" w:cs="仿宋_GB2312"/>
                <w:sz w:val="28"/>
                <w:szCs w:val="28"/>
              </w:rPr>
              <w:t>深入宣传依宪治国、依宪执政等理念，提高全体审计人员特别是各级领导干部的宪法意识，自觉遵守宪法，坚决维护宪法尊严。</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8"/>
                <w:szCs w:val="28"/>
              </w:rPr>
            </w:pPr>
            <w:r>
              <w:rPr>
                <w:rFonts w:hint="eastAsia" w:ascii="仿宋_GB2312" w:eastAsia="仿宋_GB2312" w:cs="仿宋_GB2312"/>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_GB2312"/>
                <w:sz w:val="28"/>
                <w:szCs w:val="28"/>
              </w:rPr>
            </w:pPr>
            <w:r>
              <w:rPr>
                <w:rFonts w:eastAsia="仿宋_GB2312"/>
                <w:sz w:val="28"/>
                <w:szCs w:val="28"/>
              </w:rPr>
              <w:t>3</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仿宋_GB2312" w:hAnsi="宋体" w:eastAsia="仿宋_GB2312"/>
                <w:sz w:val="28"/>
                <w:szCs w:val="28"/>
                <w:lang w:eastAsia="zh-CN"/>
              </w:rPr>
            </w:pPr>
            <w:r>
              <w:rPr>
                <w:rFonts w:hint="eastAsia" w:ascii="仿宋_GB2312" w:eastAsia="仿宋_GB2312" w:cs="仿宋_GB2312"/>
                <w:sz w:val="28"/>
                <w:szCs w:val="28"/>
              </w:rPr>
              <w:t>学习宣传《中国共产党章程》《中国共产党廉洁自律准则》《关于新</w:t>
            </w:r>
            <w:r>
              <w:rPr>
                <w:rFonts w:hint="eastAsia" w:ascii="仿宋_GB2312" w:eastAsia="仿宋_GB2312" w:cs="仿宋_GB2312"/>
                <w:sz w:val="28"/>
                <w:szCs w:val="28"/>
                <w:lang w:eastAsia="zh-CN"/>
              </w:rPr>
              <w:t>形势</w:t>
            </w:r>
            <w:r>
              <w:rPr>
                <w:rFonts w:hint="eastAsia" w:ascii="仿宋_GB2312" w:eastAsia="仿宋_GB2312" w:cs="仿宋_GB2312"/>
                <w:sz w:val="28"/>
                <w:szCs w:val="28"/>
              </w:rPr>
              <w:t>下党内政治生活的若干准则》《中国共产党纪律处分条例》《中国共产党党内监督条例》《中国共产党问责条例》等党内法规</w:t>
            </w:r>
            <w:r>
              <w:rPr>
                <w:rFonts w:hint="eastAsia" w:ascii="仿宋_GB2312" w:eastAsia="仿宋_GB2312" w:cs="仿宋_GB2312"/>
                <w:sz w:val="28"/>
                <w:szCs w:val="28"/>
                <w:lang w:eastAsia="zh-CN"/>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w w:val="100"/>
                <w:sz w:val="28"/>
                <w:szCs w:val="28"/>
              </w:rPr>
              <w:t>以全体党员为重点</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sz w:val="28"/>
                <w:szCs w:val="28"/>
              </w:rPr>
              <w:t>强化党章意识，教育引导广大党员以党章为根本遵循，牢记第一身份和第一职责，坚决维护党章权威。加强党内法规的学习宣传，注重与国家法律宣传的衔接和协调，坚持纪在法前、纪严于法，把纪律和规矩挺在前面，教育引导广大党员做党章党规党纪的自觉尊崇者、模范遵守者、坚定捍卫者。</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8"/>
                <w:szCs w:val="28"/>
              </w:rPr>
            </w:pPr>
            <w:r>
              <w:rPr>
                <w:rFonts w:hint="eastAsia" w:ascii="仿宋_GB2312" w:eastAsia="仿宋_GB2312" w:cs="仿宋_GB2312"/>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_GB2312"/>
                <w:sz w:val="28"/>
                <w:szCs w:val="28"/>
              </w:rPr>
            </w:pPr>
            <w:r>
              <w:rPr>
                <w:rFonts w:eastAsia="仿宋_GB2312"/>
                <w:sz w:val="28"/>
                <w:szCs w:val="28"/>
              </w:rPr>
              <w:t>4</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仿宋_GB2312" w:hAnsi="宋体" w:eastAsia="仿宋_GB2312"/>
                <w:sz w:val="28"/>
                <w:szCs w:val="28"/>
                <w:lang w:eastAsia="zh-CN"/>
              </w:rPr>
            </w:pPr>
            <w:r>
              <w:rPr>
                <w:rFonts w:hint="eastAsia" w:ascii="仿宋_GB2312" w:eastAsia="仿宋_GB2312" w:cs="仿宋_GB2312"/>
                <w:sz w:val="28"/>
                <w:szCs w:val="28"/>
                <w:lang w:eastAsia="zh-CN"/>
              </w:rPr>
              <w:t>深入贯彻落实中共中央办公厅、国务院办公厅印发的</w:t>
            </w:r>
            <w:r>
              <w:rPr>
                <w:rFonts w:hint="eastAsia" w:ascii="仿宋_GB2312" w:eastAsia="仿宋_GB2312" w:cs="仿宋_GB2312"/>
                <w:sz w:val="28"/>
                <w:szCs w:val="28"/>
              </w:rPr>
              <w:t>《党政主要负责人履行推进法治建设第一责任人职责规定》</w:t>
            </w:r>
            <w:r>
              <w:rPr>
                <w:rFonts w:hint="eastAsia" w:ascii="仿宋_GB2312" w:eastAsia="仿宋_GB2312" w:cs="仿宋_GB2312"/>
                <w:sz w:val="28"/>
                <w:szCs w:val="28"/>
                <w:lang w:eastAsia="zh-CN"/>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eastAsia="仿宋_GB2312" w:cs="仿宋_GB2312"/>
                <w:w w:val="100"/>
                <w:sz w:val="28"/>
                <w:szCs w:val="28"/>
              </w:rPr>
            </w:pPr>
            <w:r>
              <w:rPr>
                <w:rFonts w:hint="eastAsia" w:ascii="仿宋_GB2312" w:eastAsia="仿宋_GB2312" w:cs="仿宋_GB2312"/>
                <w:w w:val="100"/>
                <w:sz w:val="28"/>
                <w:szCs w:val="28"/>
              </w:rPr>
              <w:t>全体审计人员,以单位负责人为重点</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sz w:val="28"/>
                <w:szCs w:val="28"/>
                <w:lang w:eastAsia="zh-CN"/>
              </w:rPr>
              <w:t>加强党对法治建设的集中统一领导，</w:t>
            </w:r>
            <w:r>
              <w:rPr>
                <w:rFonts w:hint="eastAsia" w:ascii="仿宋_GB2312" w:eastAsia="仿宋_GB2312" w:cs="仿宋_GB2312"/>
                <w:sz w:val="28"/>
                <w:szCs w:val="28"/>
              </w:rPr>
              <w:t>党政主要负责人切实履行推进法治建设第一责任人职责。</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8"/>
                <w:szCs w:val="28"/>
              </w:rPr>
            </w:pPr>
            <w:r>
              <w:rPr>
                <w:rFonts w:hint="eastAsia" w:ascii="仿宋_GB2312" w:eastAsia="仿宋_GB2312" w:cs="仿宋_GB2312"/>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仿宋_GB2312"/>
                <w:sz w:val="28"/>
                <w:szCs w:val="28"/>
                <w:lang w:val="en-US" w:eastAsia="zh-CN"/>
              </w:rPr>
            </w:pPr>
            <w:r>
              <w:rPr>
                <w:rFonts w:hint="eastAsia" w:eastAsia="仿宋_GB2312"/>
                <w:sz w:val="28"/>
                <w:szCs w:val="28"/>
                <w:lang w:val="en-US" w:eastAsia="zh-CN"/>
              </w:rPr>
              <w:t>5</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学习宣传</w:t>
            </w:r>
            <w:r>
              <w:rPr>
                <w:rFonts w:hint="default" w:ascii="仿宋_GB2312" w:eastAsia="仿宋_GB2312" w:cs="仿宋_GB2312"/>
                <w:sz w:val="28"/>
                <w:szCs w:val="28"/>
                <w:lang w:eastAsia="zh-CN"/>
              </w:rPr>
              <w:t>《中华人民共和国民法典》</w:t>
            </w:r>
            <w:r>
              <w:rPr>
                <w:rFonts w:hint="eastAsia" w:ascii="仿宋_GB2312" w:eastAsia="仿宋_GB2312" w:cs="仿宋_GB2312"/>
                <w:sz w:val="28"/>
                <w:szCs w:val="28"/>
                <w:lang w:eastAsia="zh-CN"/>
              </w:rPr>
              <w:t>，大力推动民法典贯彻实施，提高民法典学习宣传工作针对性和实效性。</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eastAsia="仿宋_GB2312" w:cs="仿宋_GB2312"/>
                <w:w w:val="100"/>
                <w:sz w:val="28"/>
                <w:szCs w:val="28"/>
              </w:rPr>
            </w:pPr>
            <w:r>
              <w:rPr>
                <w:rFonts w:hint="eastAsia" w:ascii="仿宋_GB2312" w:eastAsia="仿宋_GB2312" w:cs="仿宋_GB2312"/>
                <w:w w:val="100"/>
                <w:sz w:val="28"/>
                <w:szCs w:val="28"/>
              </w:rPr>
              <w:t>全体审计人员和被审计对象</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eastAsia="仿宋_GB2312" w:cs="仿宋_GB2312"/>
                <w:sz w:val="28"/>
                <w:szCs w:val="28"/>
                <w:lang w:val="en-US" w:eastAsia="zh-CN"/>
              </w:rPr>
            </w:pPr>
            <w:r>
              <w:rPr>
                <w:rFonts w:hint="eastAsia" w:ascii="仿宋_GB2312" w:eastAsia="仿宋_GB2312" w:cs="仿宋_GB2312"/>
                <w:sz w:val="28"/>
                <w:szCs w:val="28"/>
                <w:lang w:eastAsia="zh-CN"/>
              </w:rPr>
              <w:t>深入学习宣传习近平法治思想，特别是关于民法典的重要指示精神，聚焦民法典总则编和各分编需要把握好的核心要义和重点问题，突出民法典对做好审计监督工作的作用。</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仿宋_GB2312"/>
                <w:sz w:val="28"/>
                <w:szCs w:val="28"/>
                <w:lang w:eastAsia="zh-CN"/>
              </w:rPr>
            </w:pPr>
            <w:r>
              <w:rPr>
                <w:rFonts w:hint="eastAsia" w:eastAsia="仿宋_GB2312"/>
                <w:sz w:val="28"/>
                <w:szCs w:val="28"/>
                <w:lang w:val="en-US" w:eastAsia="zh-CN"/>
              </w:rPr>
              <w:t>6</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仿宋_GB2312" w:hAnsi="宋体" w:eastAsia="仿宋_GB2312"/>
                <w:sz w:val="28"/>
                <w:szCs w:val="28"/>
              </w:rPr>
            </w:pPr>
            <w:r>
              <w:rPr>
                <w:rFonts w:hint="eastAsia" w:ascii="仿宋_GB2312" w:eastAsia="仿宋_GB2312" w:cs="仿宋_GB2312"/>
                <w:sz w:val="28"/>
                <w:szCs w:val="28"/>
              </w:rPr>
              <w:t>重点宣传</w:t>
            </w:r>
            <w:r>
              <w:rPr>
                <w:rFonts w:hint="eastAsia" w:ascii="仿宋_GB2312" w:eastAsia="仿宋_GB2312" w:cs="仿宋_GB2312"/>
                <w:sz w:val="28"/>
                <w:szCs w:val="28"/>
                <w:lang w:eastAsia="zh-CN"/>
              </w:rPr>
              <w:t>新修订的</w:t>
            </w:r>
            <w:r>
              <w:rPr>
                <w:rFonts w:hint="eastAsia" w:ascii="仿宋_GB2312" w:eastAsia="仿宋_GB2312" w:cs="仿宋_GB2312"/>
                <w:sz w:val="28"/>
                <w:szCs w:val="28"/>
              </w:rPr>
              <w:t>《</w:t>
            </w:r>
            <w:r>
              <w:rPr>
                <w:rFonts w:hint="eastAsia" w:ascii="仿宋_GB2312" w:eastAsia="仿宋_GB2312" w:cs="仿宋_GB2312"/>
                <w:sz w:val="28"/>
                <w:szCs w:val="28"/>
                <w:lang w:eastAsia="zh-CN"/>
              </w:rPr>
              <w:t>中华人民共和国</w:t>
            </w:r>
            <w:r>
              <w:rPr>
                <w:rFonts w:hint="eastAsia" w:ascii="仿宋_GB2312" w:eastAsia="仿宋_GB2312" w:cs="仿宋_GB2312"/>
                <w:sz w:val="28"/>
                <w:szCs w:val="28"/>
              </w:rPr>
              <w:t>审计法》《</w:t>
            </w:r>
            <w:r>
              <w:rPr>
                <w:rFonts w:hint="eastAsia" w:ascii="仿宋_GB2312" w:eastAsia="仿宋_GB2312" w:cs="仿宋_GB2312"/>
                <w:sz w:val="28"/>
                <w:szCs w:val="28"/>
                <w:lang w:eastAsia="zh-CN"/>
              </w:rPr>
              <w:t>中华人民共和国</w:t>
            </w:r>
            <w:r>
              <w:rPr>
                <w:rFonts w:hint="eastAsia" w:ascii="仿宋_GB2312" w:eastAsia="仿宋_GB2312" w:cs="仿宋_GB2312"/>
                <w:sz w:val="28"/>
                <w:szCs w:val="28"/>
              </w:rPr>
              <w:t>审计法实施条例》《天津市审计监督条例》《</w:t>
            </w:r>
            <w:r>
              <w:rPr>
                <w:rFonts w:hint="eastAsia" w:ascii="仿宋_GB2312" w:eastAsia="仿宋_GB2312" w:cs="仿宋_GB2312"/>
                <w:sz w:val="28"/>
                <w:szCs w:val="28"/>
                <w:lang w:eastAsia="zh-CN"/>
              </w:rPr>
              <w:t>中华人民共和国</w:t>
            </w:r>
            <w:r>
              <w:rPr>
                <w:rFonts w:hint="eastAsia" w:ascii="仿宋_GB2312" w:eastAsia="仿宋_GB2312" w:cs="仿宋_GB2312"/>
                <w:sz w:val="28"/>
                <w:szCs w:val="28"/>
              </w:rPr>
              <w:t>国家审计准则》</w:t>
            </w:r>
            <w:r>
              <w:rPr>
                <w:rFonts w:hint="eastAsia" w:ascii="仿宋_GB2312" w:eastAsia="仿宋_GB2312" w:cs="仿宋_GB2312"/>
                <w:sz w:val="28"/>
                <w:szCs w:val="28"/>
                <w:lang w:eastAsia="zh-CN"/>
              </w:rPr>
              <w:t>《党政主要领导干部和国有企事业单位主要领导人员经济责任审计规定》</w:t>
            </w:r>
            <w:r>
              <w:rPr>
                <w:rFonts w:hint="eastAsia" w:ascii="仿宋_GB2312" w:eastAsia="仿宋_GB2312" w:cs="仿宋_GB2312"/>
                <w:sz w:val="28"/>
                <w:szCs w:val="28"/>
              </w:rPr>
              <w:t>《审计署关于内部审计工作的规定》《天津市联网实时审计监督办法》等与审计工作相关的法律、法规和规章。</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w w:val="100"/>
                <w:sz w:val="28"/>
                <w:szCs w:val="28"/>
              </w:rPr>
              <w:t>全体审计人员和被审计对象</w:t>
            </w:r>
          </w:p>
        </w:tc>
        <w:tc>
          <w:tcPr>
            <w:tcW w:w="35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仿宋_GB2312" w:hAnsi="Times New Roman" w:eastAsia="仿宋_GB2312" w:cs="仿宋_GB2312"/>
                <w:sz w:val="28"/>
                <w:szCs w:val="28"/>
              </w:rPr>
            </w:pPr>
            <w:r>
              <w:rPr>
                <w:rFonts w:hint="eastAsia" w:ascii="仿宋_GB2312" w:eastAsia="仿宋_GB2312" w:cs="仿宋_GB2312"/>
                <w:sz w:val="28"/>
                <w:szCs w:val="28"/>
              </w:rPr>
              <w:t>把法治宣传教育贯穿于审计执法的各方面和全过程，落实“谁执法谁普法”普法责任制，通过在执法中普法，引导被审计对象树立诚信守法、爱国敬业意识，提高依法行政、依法管理能力。</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8"/>
                <w:szCs w:val="28"/>
              </w:rPr>
            </w:pPr>
            <w:r>
              <w:rPr>
                <w:rFonts w:hint="eastAsia" w:ascii="仿宋_GB2312" w:eastAsia="仿宋_GB2312" w:cs="仿宋_GB2312"/>
                <w:sz w:val="28"/>
                <w:szCs w:val="28"/>
              </w:rPr>
              <w:t>每年</w:t>
            </w:r>
          </w:p>
        </w:tc>
      </w:tr>
    </w:tbl>
    <w:p>
      <w:pPr>
        <w:spacing w:line="579" w:lineRule="exact"/>
        <w:ind w:left="560" w:hanging="560" w:hangingChars="175"/>
        <w:rPr>
          <w:rFonts w:hint="eastAsia" w:ascii="仿宋_GB2312" w:eastAsia="仿宋_GB2312" w:cs="仿宋_GB2312"/>
          <w:sz w:val="32"/>
          <w:szCs w:val="32"/>
        </w:rPr>
      </w:pPr>
      <w:r>
        <w:rPr>
          <w:rFonts w:hint="eastAsia" w:ascii="仿宋_GB2312" w:eastAsia="仿宋_GB2312" w:cs="仿宋_GB2312"/>
          <w:sz w:val="32"/>
          <w:szCs w:val="32"/>
        </w:rPr>
        <w:t>注：本清单内容的具体实施，将根据年度工作安排等实际情况进行调整。</w:t>
      </w:r>
    </w:p>
    <w:p>
      <w:pPr>
        <w:adjustRightInd w:val="0"/>
        <w:snapToGrid w:val="0"/>
        <w:spacing w:line="580" w:lineRule="exact"/>
        <w:rPr>
          <w:rFonts w:ascii="仿宋_GB2312" w:eastAsia="仿宋_GB2312"/>
          <w:sz w:val="32"/>
          <w:szCs w:val="32"/>
        </w:rPr>
      </w:pPr>
    </w:p>
    <w:p>
      <w:pPr>
        <w:rPr>
          <w:rFonts w:hint="eastAsia" w:ascii="仿宋_GB2312" w:eastAsia="仿宋_GB2312"/>
          <w:sz w:val="32"/>
          <w:szCs w:val="32"/>
        </w:rPr>
      </w:pPr>
    </w:p>
    <w:p>
      <w:pPr>
        <w:spacing w:line="500" w:lineRule="exact"/>
        <w:rPr>
          <w:rFonts w:hint="eastAsia" w:ascii="仿宋_GB2312" w:eastAsia="仿宋_GB2312"/>
          <w:sz w:val="32"/>
          <w:szCs w:val="32"/>
        </w:rPr>
      </w:pPr>
    </w:p>
    <w:p>
      <w:pPr>
        <w:spacing w:line="720" w:lineRule="exact"/>
        <w:ind w:firstLine="640" w:firstLineChars="200"/>
        <w:rPr>
          <w:rFonts w:hint="eastAsia" w:ascii="仿宋_GB2312" w:eastAsia="仿宋_GB2312"/>
          <w:sz w:val="32"/>
          <w:szCs w:val="32"/>
        </w:rPr>
      </w:pPr>
    </w:p>
    <w:p>
      <w:pPr>
        <w:spacing w:line="72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spacing w:line="20" w:lineRule="exact"/>
        <w:ind w:firstLine="640" w:firstLineChars="200"/>
        <w:rPr>
          <w:rFonts w:hint="eastAsia" w:ascii="仿宋_GB2312" w:eastAsia="仿宋_GB2312"/>
          <w:sz w:val="32"/>
          <w:szCs w:val="32"/>
        </w:rPr>
      </w:pPr>
    </w:p>
    <w:p>
      <w:pPr>
        <w:pBdr>
          <w:top w:val="single" w:color="auto" w:sz="12" w:space="1"/>
          <w:bottom w:val="single" w:color="auto" w:sz="12" w:space="1"/>
          <w:between w:val="single" w:color="auto" w:sz="8" w:space="1"/>
        </w:pBdr>
        <w:tabs>
          <w:tab w:val="left" w:pos="7655"/>
          <w:tab w:val="right" w:pos="8789"/>
        </w:tabs>
        <w:adjustRightInd w:val="0"/>
        <w:snapToGrid w:val="0"/>
        <w:spacing w:line="500" w:lineRule="exact"/>
        <w:jc w:val="left"/>
        <w:rPr>
          <w:rFonts w:hint="eastAsia" w:eastAsia="仿宋_GB2312"/>
          <w:sz w:val="28"/>
          <w:szCs w:val="28"/>
        </w:rPr>
      </w:pPr>
      <w:r>
        <w:rPr>
          <w:rFonts w:hint="eastAsia" w:eastAsia="仿宋_GB2312"/>
          <w:sz w:val="28"/>
          <w:szCs w:val="28"/>
        </w:rPr>
        <w:t xml:space="preserve">  天津市</w:t>
      </w:r>
      <w:r>
        <w:rPr>
          <w:rFonts w:hint="eastAsia" w:eastAsia="仿宋_GB2312"/>
          <w:sz w:val="28"/>
          <w:szCs w:val="28"/>
          <w:lang w:eastAsia="zh-CN"/>
        </w:rPr>
        <w:t>西青区</w:t>
      </w:r>
      <w:r>
        <w:rPr>
          <w:rFonts w:hint="eastAsia" w:eastAsia="仿宋_GB2312"/>
          <w:sz w:val="28"/>
          <w:szCs w:val="28"/>
        </w:rPr>
        <w:t xml:space="preserve">审计局办公室              </w:t>
      </w:r>
      <w:r>
        <w:rPr>
          <w:rFonts w:hint="eastAsia" w:eastAsia="仿宋_GB2312"/>
          <w:sz w:val="28"/>
          <w:szCs w:val="28"/>
          <w:lang w:val="en-US" w:eastAsia="zh-CN"/>
        </w:rPr>
        <w:t>2023年6月28日</w:t>
      </w:r>
      <w:r>
        <w:rPr>
          <w:rFonts w:eastAsia="仿宋_GB2312"/>
          <w:sz w:val="28"/>
          <w:szCs w:val="28"/>
        </w:rPr>
        <w:t>印发</w:t>
      </w:r>
    </w:p>
    <w:sectPr>
      <w:headerReference r:id="rId3" w:type="default"/>
      <w:footerReference r:id="rId4" w:type="default"/>
      <w:footerReference r:id="rId5" w:type="even"/>
      <w:pgSz w:w="11906" w:h="16838"/>
      <w:pgMar w:top="1984" w:right="1474" w:bottom="1928" w:left="1588" w:header="1247"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长城大标宋体">
    <w:panose1 w:val="02010609010101010101"/>
    <w:charset w:val="86"/>
    <w:family w:val="modern"/>
    <w:pitch w:val="default"/>
    <w:sig w:usb0="00000000" w:usb1="00000000" w:usb2="00000000" w:usb3="00000000" w:csb0="00000000" w:csb1="00000000"/>
  </w:font>
  <w:font w:name="文星标宋">
    <w:panose1 w:val="02010604000101010101"/>
    <w:charset w:val="86"/>
    <w:family w:val="auto"/>
    <w:pitch w:val="default"/>
    <w:sig w:usb0="00000001" w:usb1="080E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spacing w:line="240" w:lineRule="exact"/>
      <w:ind w:left="210" w:leftChars="100" w:right="210" w:rightChars="100"/>
      <w:rPr>
        <w:rStyle w:val="23"/>
      </w:rPr>
    </w:pPr>
    <w:r>
      <w:rPr>
        <w:rStyle w:val="23"/>
        <w:sz w:val="28"/>
      </w:rPr>
      <w:t xml:space="preserve"> </w:t>
    </w:r>
    <w:r>
      <w:rPr>
        <w:rStyle w:val="23"/>
        <w:rFonts w:hint="eastAsia" w:asciiTheme="minorEastAsia" w:hAnsiTheme="minorEastAsia" w:eastAsiaTheme="minorEastAsia" w:cstheme="minorEastAsia"/>
        <w:sz w:val="28"/>
      </w:rPr>
      <w:t>—</w:t>
    </w:r>
    <w:r>
      <w:rPr>
        <w:rStyle w:val="23"/>
        <w:rFonts w:hint="eastAsia" w:asciiTheme="minorEastAsia" w:hAnsiTheme="minorEastAsia" w:eastAsiaTheme="minorEastAsia" w:cstheme="minorEastAsia"/>
        <w:spacing w:val="100"/>
        <w:sz w:val="28"/>
      </w:rPr>
      <w:t xml:space="preserve"> </w:t>
    </w:r>
    <w:r>
      <w:rPr>
        <w:rFonts w:hint="eastAsia" w:asciiTheme="minorEastAsia" w:hAnsiTheme="minorEastAsia" w:eastAsiaTheme="minorEastAsia" w:cstheme="minorEastAsia"/>
        <w:sz w:val="28"/>
      </w:rPr>
      <w:fldChar w:fldCharType="begin"/>
    </w:r>
    <w:r>
      <w:rPr>
        <w:rStyle w:val="23"/>
        <w:rFonts w:hint="eastAsia" w:asciiTheme="minorEastAsia" w:hAnsiTheme="minorEastAsia" w:eastAsiaTheme="minorEastAsia" w:cstheme="minorEastAsia"/>
        <w:sz w:val="28"/>
      </w:rPr>
      <w:instrText xml:space="preserve">PAGE  </w:instrText>
    </w:r>
    <w:r>
      <w:rPr>
        <w:rFonts w:hint="eastAsia" w:asciiTheme="minorEastAsia" w:hAnsiTheme="minorEastAsia" w:eastAsiaTheme="minorEastAsia" w:cstheme="minorEastAsia"/>
        <w:sz w:val="28"/>
      </w:rPr>
      <w:fldChar w:fldCharType="separate"/>
    </w:r>
    <w:r>
      <w:rPr>
        <w:rStyle w:val="23"/>
        <w:rFonts w:hint="eastAsia" w:asciiTheme="minorEastAsia" w:hAnsiTheme="minorEastAsia" w:eastAsiaTheme="minorEastAsia" w:cstheme="minorEastAsia"/>
        <w:sz w:val="28"/>
      </w:rPr>
      <w:t>1</w:t>
    </w:r>
    <w:r>
      <w:rPr>
        <w:rFonts w:hint="eastAsia" w:asciiTheme="minorEastAsia" w:hAnsiTheme="minorEastAsia" w:eastAsiaTheme="minorEastAsia" w:cstheme="minorEastAsia"/>
        <w:sz w:val="28"/>
      </w:rPr>
      <w:fldChar w:fldCharType="end"/>
    </w:r>
    <w:r>
      <w:rPr>
        <w:rStyle w:val="23"/>
        <w:rFonts w:hint="eastAsia" w:asciiTheme="minorEastAsia" w:hAnsiTheme="minorEastAsia" w:eastAsiaTheme="minorEastAsia" w:cstheme="minorEastAsia"/>
        <w:spacing w:val="100"/>
        <w:sz w:val="28"/>
      </w:rPr>
      <w:t xml:space="preserve"> </w:t>
    </w:r>
    <w:r>
      <w:rPr>
        <w:rStyle w:val="23"/>
        <w:rFonts w:hint="eastAsia" w:asciiTheme="minorEastAsia" w:hAnsiTheme="minorEastAsia" w:eastAsiaTheme="minorEastAsia" w:cstheme="minorEastAsia"/>
        <w:sz w:val="28"/>
      </w:rPr>
      <w:t>—</w:t>
    </w:r>
  </w:p>
  <w:p>
    <w:pPr>
      <w:pStyle w:val="14"/>
      <w:spacing w:line="240" w:lineRule="exact"/>
      <w:ind w:left="315" w:leftChars="150" w:righ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r>
      <w:fldChar w:fldCharType="begin"/>
    </w:r>
    <w:r>
      <w:rPr>
        <w:rStyle w:val="23"/>
      </w:rPr>
      <w:instrText xml:space="preserve">PAGE  </w:instrText>
    </w:r>
    <w:r>
      <w:fldChar w:fldCharType="separate"/>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B2FBF"/>
    <w:rsid w:val="0001035B"/>
    <w:rsid w:val="00042511"/>
    <w:rsid w:val="00075BF9"/>
    <w:rsid w:val="0008050C"/>
    <w:rsid w:val="000901EC"/>
    <w:rsid w:val="0009518C"/>
    <w:rsid w:val="000A17C2"/>
    <w:rsid w:val="000A4A7B"/>
    <w:rsid w:val="000A7685"/>
    <w:rsid w:val="000B5965"/>
    <w:rsid w:val="000E4470"/>
    <w:rsid w:val="000F0BC1"/>
    <w:rsid w:val="00112765"/>
    <w:rsid w:val="0013380C"/>
    <w:rsid w:val="001404BB"/>
    <w:rsid w:val="00144375"/>
    <w:rsid w:val="00151CC2"/>
    <w:rsid w:val="001749A2"/>
    <w:rsid w:val="0018062B"/>
    <w:rsid w:val="001850E1"/>
    <w:rsid w:val="001B203D"/>
    <w:rsid w:val="001C44B5"/>
    <w:rsid w:val="00281886"/>
    <w:rsid w:val="00284F1E"/>
    <w:rsid w:val="002A36CE"/>
    <w:rsid w:val="002A5AC1"/>
    <w:rsid w:val="002B08F3"/>
    <w:rsid w:val="002B6D95"/>
    <w:rsid w:val="002C1D84"/>
    <w:rsid w:val="002D76C3"/>
    <w:rsid w:val="00304F08"/>
    <w:rsid w:val="00307ADA"/>
    <w:rsid w:val="0034523E"/>
    <w:rsid w:val="00350093"/>
    <w:rsid w:val="00364710"/>
    <w:rsid w:val="00365543"/>
    <w:rsid w:val="00380530"/>
    <w:rsid w:val="00390DF1"/>
    <w:rsid w:val="003A1084"/>
    <w:rsid w:val="003A38A9"/>
    <w:rsid w:val="003D2971"/>
    <w:rsid w:val="003D483F"/>
    <w:rsid w:val="003E4553"/>
    <w:rsid w:val="00420D7F"/>
    <w:rsid w:val="004368F7"/>
    <w:rsid w:val="004406ED"/>
    <w:rsid w:val="00450135"/>
    <w:rsid w:val="00474211"/>
    <w:rsid w:val="0047554C"/>
    <w:rsid w:val="004A1310"/>
    <w:rsid w:val="004E4F8A"/>
    <w:rsid w:val="005023A1"/>
    <w:rsid w:val="00505746"/>
    <w:rsid w:val="00515CDC"/>
    <w:rsid w:val="005238A1"/>
    <w:rsid w:val="005561E9"/>
    <w:rsid w:val="00564151"/>
    <w:rsid w:val="005678ED"/>
    <w:rsid w:val="00575BDA"/>
    <w:rsid w:val="005A30AF"/>
    <w:rsid w:val="005D2D4B"/>
    <w:rsid w:val="005E59C2"/>
    <w:rsid w:val="00623334"/>
    <w:rsid w:val="00624930"/>
    <w:rsid w:val="00626EBD"/>
    <w:rsid w:val="006340EB"/>
    <w:rsid w:val="00660D1F"/>
    <w:rsid w:val="00666DE1"/>
    <w:rsid w:val="006E36E2"/>
    <w:rsid w:val="006E6DAA"/>
    <w:rsid w:val="006F65E5"/>
    <w:rsid w:val="007039D9"/>
    <w:rsid w:val="007135E1"/>
    <w:rsid w:val="007179F7"/>
    <w:rsid w:val="00722ED9"/>
    <w:rsid w:val="00750078"/>
    <w:rsid w:val="0076284C"/>
    <w:rsid w:val="00771991"/>
    <w:rsid w:val="0077523A"/>
    <w:rsid w:val="007A45FF"/>
    <w:rsid w:val="007B0EDA"/>
    <w:rsid w:val="007C5F7B"/>
    <w:rsid w:val="008227FE"/>
    <w:rsid w:val="00827C64"/>
    <w:rsid w:val="00843BFA"/>
    <w:rsid w:val="008D07DD"/>
    <w:rsid w:val="008E5310"/>
    <w:rsid w:val="008F708B"/>
    <w:rsid w:val="00914F94"/>
    <w:rsid w:val="00922578"/>
    <w:rsid w:val="00930008"/>
    <w:rsid w:val="00937C26"/>
    <w:rsid w:val="00986715"/>
    <w:rsid w:val="009C6A2E"/>
    <w:rsid w:val="00A16938"/>
    <w:rsid w:val="00A3641D"/>
    <w:rsid w:val="00A570CC"/>
    <w:rsid w:val="00A67BDF"/>
    <w:rsid w:val="00A71E34"/>
    <w:rsid w:val="00A81C9E"/>
    <w:rsid w:val="00A83ADD"/>
    <w:rsid w:val="00AC108E"/>
    <w:rsid w:val="00B12698"/>
    <w:rsid w:val="00B57CCA"/>
    <w:rsid w:val="00B72569"/>
    <w:rsid w:val="00BA69F1"/>
    <w:rsid w:val="00BC46CF"/>
    <w:rsid w:val="00BE6C88"/>
    <w:rsid w:val="00C32195"/>
    <w:rsid w:val="00C441DD"/>
    <w:rsid w:val="00C52289"/>
    <w:rsid w:val="00CC6C81"/>
    <w:rsid w:val="00CF4B6A"/>
    <w:rsid w:val="00D07834"/>
    <w:rsid w:val="00D52BE1"/>
    <w:rsid w:val="00DA64F5"/>
    <w:rsid w:val="00DF3F32"/>
    <w:rsid w:val="00DF59A2"/>
    <w:rsid w:val="00E0076A"/>
    <w:rsid w:val="00E0474A"/>
    <w:rsid w:val="00E965DF"/>
    <w:rsid w:val="00EC77EC"/>
    <w:rsid w:val="00F13F0F"/>
    <w:rsid w:val="00F34F2A"/>
    <w:rsid w:val="00F51621"/>
    <w:rsid w:val="00FD4736"/>
    <w:rsid w:val="00FE04BD"/>
    <w:rsid w:val="00FE5B23"/>
    <w:rsid w:val="14D11DFE"/>
    <w:rsid w:val="1BD31012"/>
    <w:rsid w:val="1F2CA5BD"/>
    <w:rsid w:val="1FF87C7F"/>
    <w:rsid w:val="20673552"/>
    <w:rsid w:val="3FE76773"/>
    <w:rsid w:val="3FF63CF7"/>
    <w:rsid w:val="57EF0D1E"/>
    <w:rsid w:val="5AFF35DF"/>
    <w:rsid w:val="5B6F3446"/>
    <w:rsid w:val="5E7D42BB"/>
    <w:rsid w:val="5F3429C7"/>
    <w:rsid w:val="5FFF56C6"/>
    <w:rsid w:val="6617477C"/>
    <w:rsid w:val="686B2FBF"/>
    <w:rsid w:val="6BF9347B"/>
    <w:rsid w:val="72DDAB25"/>
    <w:rsid w:val="75BF3F68"/>
    <w:rsid w:val="75FE3167"/>
    <w:rsid w:val="77F81797"/>
    <w:rsid w:val="7AF306ED"/>
    <w:rsid w:val="7DFD4258"/>
    <w:rsid w:val="7E7F3D3D"/>
    <w:rsid w:val="7F7E0886"/>
    <w:rsid w:val="7FBF7597"/>
    <w:rsid w:val="7FEDCB85"/>
    <w:rsid w:val="7FFE445C"/>
    <w:rsid w:val="8FDBBE48"/>
    <w:rsid w:val="9CF5E245"/>
    <w:rsid w:val="AFF3FFF9"/>
    <w:rsid w:val="B5CA1BCD"/>
    <w:rsid w:val="D93FB192"/>
    <w:rsid w:val="DBE74178"/>
    <w:rsid w:val="DFD52B61"/>
    <w:rsid w:val="EEE93995"/>
    <w:rsid w:val="F5F6D907"/>
    <w:rsid w:val="F97F54E9"/>
    <w:rsid w:val="FBDD7893"/>
    <w:rsid w:val="FEBFB7DF"/>
    <w:rsid w:val="FFED79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600" w:lineRule="exact"/>
      <w:outlineLvl w:val="0"/>
    </w:pPr>
    <w:rPr>
      <w:sz w:val="32"/>
    </w:rPr>
  </w:style>
  <w:style w:type="paragraph" w:styleId="3">
    <w:name w:val="heading 2"/>
    <w:basedOn w:val="1"/>
    <w:next w:val="4"/>
    <w:qFormat/>
    <w:uiPriority w:val="0"/>
    <w:pPr>
      <w:keepNext/>
      <w:keepLines/>
      <w:spacing w:before="260" w:beforeLines="0" w:after="260" w:afterLines="0" w:line="413" w:lineRule="auto"/>
      <w:outlineLvl w:val="1"/>
    </w:pPr>
    <w:rPr>
      <w:rFonts w:ascii="Arial" w:hAnsi="Arial" w:eastAsia="黑体"/>
      <w:b/>
      <w:sz w:val="32"/>
    </w:rPr>
  </w:style>
  <w:style w:type="paragraph" w:styleId="5">
    <w:name w:val="heading 3"/>
    <w:basedOn w:val="1"/>
    <w:next w:val="4"/>
    <w:qFormat/>
    <w:uiPriority w:val="0"/>
    <w:pPr>
      <w:keepNext/>
      <w:spacing w:line="400" w:lineRule="exact"/>
      <w:jc w:val="center"/>
      <w:outlineLvl w:val="2"/>
    </w:pPr>
    <w:rPr>
      <w:rFonts w:ascii="仿宋_GB2312"/>
      <w:spacing w:val="94"/>
      <w:sz w:val="32"/>
    </w:rPr>
  </w:style>
  <w:style w:type="character" w:default="1" w:styleId="21">
    <w:name w:val="Default Paragraph Font"/>
    <w:link w:val="22"/>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Document Map"/>
    <w:basedOn w:val="1"/>
    <w:qFormat/>
    <w:uiPriority w:val="0"/>
    <w:pPr>
      <w:shd w:val="clear" w:color="auto" w:fill="000080"/>
    </w:pPr>
    <w:rPr>
      <w:szCs w:val="24"/>
    </w:rPr>
  </w:style>
  <w:style w:type="paragraph" w:styleId="7">
    <w:name w:val="annotation text"/>
    <w:basedOn w:val="1"/>
    <w:qFormat/>
    <w:uiPriority w:val="0"/>
    <w:pPr>
      <w:jc w:val="left"/>
    </w:pPr>
  </w:style>
  <w:style w:type="paragraph" w:styleId="8">
    <w:name w:val="Body Text"/>
    <w:basedOn w:val="1"/>
    <w:qFormat/>
    <w:uiPriority w:val="0"/>
    <w:pPr>
      <w:snapToGrid w:val="0"/>
      <w:spacing w:line="579" w:lineRule="exact"/>
    </w:pPr>
    <w:rPr>
      <w:rFonts w:eastAsia="仿宋_GB2312"/>
      <w:sz w:val="32"/>
    </w:rPr>
  </w:style>
  <w:style w:type="paragraph" w:styleId="9">
    <w:name w:val="Body Text Indent"/>
    <w:basedOn w:val="1"/>
    <w:qFormat/>
    <w:uiPriority w:val="0"/>
    <w:pPr>
      <w:ind w:firstLine="540"/>
    </w:pPr>
    <w:rPr>
      <w:sz w:val="30"/>
    </w:rPr>
  </w:style>
  <w:style w:type="paragraph" w:styleId="10">
    <w:name w:val="Plain Text"/>
    <w:basedOn w:val="1"/>
    <w:qFormat/>
    <w:uiPriority w:val="0"/>
    <w:rPr>
      <w:rFonts w:ascii="宋体" w:hAnsi="Courier New"/>
    </w:rPr>
  </w:style>
  <w:style w:type="paragraph" w:styleId="11">
    <w:name w:val="Date"/>
    <w:basedOn w:val="1"/>
    <w:next w:val="1"/>
    <w:qFormat/>
    <w:uiPriority w:val="0"/>
    <w:rPr>
      <w:rFonts w:eastAsia="仿宋_GB2312"/>
      <w:sz w:val="32"/>
    </w:rPr>
  </w:style>
  <w:style w:type="paragraph" w:styleId="12">
    <w:name w:val="Body Text Indent 2"/>
    <w:basedOn w:val="1"/>
    <w:qFormat/>
    <w:uiPriority w:val="0"/>
    <w:pPr>
      <w:ind w:firstLine="720"/>
    </w:pPr>
    <w:rPr>
      <w:rFonts w:ascii="仿宋_GB2312" w:eastAsia="仿宋_GB2312"/>
      <w:sz w:val="3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9450"/>
      </w:tabs>
      <w:ind w:left="420" w:right="-510" w:rightChars="-243"/>
      <w:jc w:val="left"/>
    </w:pPr>
    <w:rPr>
      <w:rFonts w:ascii="宋体" w:hAnsi="宋体"/>
      <w:szCs w:val="24"/>
    </w:rPr>
  </w:style>
  <w:style w:type="paragraph" w:styleId="17">
    <w:name w:val="toc 2"/>
    <w:basedOn w:val="1"/>
    <w:next w:val="1"/>
    <w:qFormat/>
    <w:uiPriority w:val="0"/>
    <w:pPr>
      <w:tabs>
        <w:tab w:val="right" w:leader="dot" w:pos="9402"/>
      </w:tabs>
      <w:adjustRightInd w:val="0"/>
      <w:snapToGrid w:val="0"/>
      <w:spacing w:line="500" w:lineRule="exact"/>
      <w:jc w:val="distribute"/>
    </w:pPr>
    <w:rPr>
      <w:szCs w:val="24"/>
    </w:rPr>
  </w:style>
  <w:style w:type="paragraph" w:styleId="18">
    <w:name w:val="Title"/>
    <w:basedOn w:val="1"/>
    <w:next w:val="19"/>
    <w:qFormat/>
    <w:uiPriority w:val="0"/>
    <w:pPr>
      <w:jc w:val="center"/>
      <w:outlineLvl w:val="0"/>
    </w:pPr>
    <w:rPr>
      <w:b/>
      <w:sz w:val="44"/>
    </w:rPr>
  </w:style>
  <w:style w:type="paragraph" w:styleId="19">
    <w:name w:val="Body Text First Indent"/>
    <w:basedOn w:val="8"/>
    <w:qFormat/>
    <w:uiPriority w:val="0"/>
    <w:pPr>
      <w:snapToGrid/>
      <w:spacing w:line="240" w:lineRule="auto"/>
      <w:ind w:firstLine="200"/>
    </w:pPr>
  </w:style>
  <w:style w:type="paragraph" w:customStyle="1" w:styleId="22">
    <w:name w:val="_Style 36"/>
    <w:basedOn w:val="6"/>
    <w:link w:val="21"/>
    <w:semiHidden/>
    <w:qFormat/>
    <w:uiPriority w:val="0"/>
    <w:rPr>
      <w:rFonts w:ascii="Tahoma" w:hAnsi="Tahoma"/>
      <w:sz w:val="24"/>
    </w:rPr>
  </w:style>
  <w:style w:type="character" w:styleId="23">
    <w:name w:val="page number"/>
    <w:basedOn w:val="21"/>
    <w:qFormat/>
    <w:uiPriority w:val="0"/>
  </w:style>
  <w:style w:type="character" w:styleId="24">
    <w:name w:val="Hyperlink"/>
    <w:qFormat/>
    <w:uiPriority w:val="0"/>
    <w:rPr>
      <w:color w:val="0000FF"/>
      <w:u w:val="single"/>
    </w:rPr>
  </w:style>
  <w:style w:type="paragraph" w:customStyle="1" w:styleId="25">
    <w:name w:val="Char"/>
    <w:basedOn w:val="1"/>
    <w:qFormat/>
    <w:uiPriority w:val="0"/>
    <w:pPr>
      <w:snapToGrid w:val="0"/>
      <w:spacing w:line="360" w:lineRule="auto"/>
      <w:ind w:firstLine="200" w:firstLineChars="200"/>
    </w:pPr>
  </w:style>
  <w:style w:type="paragraph" w:customStyle="1" w:styleId="26">
    <w:name w:val=" Char"/>
    <w:basedOn w:val="1"/>
    <w:qFormat/>
    <w:uiPriority w:val="0"/>
    <w:pPr>
      <w:spacing w:before="156" w:beforeLines="50" w:after="156" w:afterLines="50"/>
    </w:pPr>
    <w:rPr>
      <w:rFonts w:ascii="Tahoma" w:hAnsi="Tahoma"/>
      <w:sz w:val="24"/>
    </w:rPr>
  </w:style>
  <w:style w:type="paragraph" w:customStyle="1" w:styleId="27">
    <w:name w:val=" Char Char Char"/>
    <w:basedOn w:val="1"/>
    <w:qFormat/>
    <w:uiPriority w:val="0"/>
    <w:pPr>
      <w:keepNext/>
      <w:widowControl/>
      <w:tabs>
        <w:tab w:val="left" w:pos="425"/>
      </w:tabs>
      <w:autoSpaceDE w:val="0"/>
      <w:autoSpaceDN w:val="0"/>
      <w:adjustRightInd w:val="0"/>
      <w:spacing w:before="80" w:beforeLines="0" w:after="80" w:afterLines="0"/>
      <w:ind w:hanging="425"/>
    </w:pPr>
    <w:rPr>
      <w:rFonts w:ascii="Arial" w:hAnsi="Arial" w:cs="Arial"/>
      <w:sz w:val="20"/>
    </w:rPr>
  </w:style>
  <w:style w:type="paragraph" w:customStyle="1" w:styleId="28">
    <w:name w:val="默认段落字体 Para Char Char Char Char Char Char Char Char Char Char"/>
    <w:basedOn w:val="1"/>
    <w:qFormat/>
    <w:uiPriority w:val="0"/>
  </w:style>
  <w:style w:type="paragraph" w:customStyle="1" w:styleId="29">
    <w:name w:val="公文标题"/>
    <w:basedOn w:val="1"/>
    <w:qFormat/>
    <w:uiPriority w:val="0"/>
    <w:pPr>
      <w:autoSpaceDE w:val="0"/>
      <w:autoSpaceDN w:val="0"/>
      <w:snapToGrid w:val="0"/>
      <w:spacing w:line="580" w:lineRule="exact"/>
      <w:jc w:val="center"/>
    </w:pPr>
    <w:rPr>
      <w:rFonts w:ascii="方正小标宋简体" w:eastAsia="方正小标宋简体"/>
      <w:spacing w:val="-4"/>
      <w:sz w:val="44"/>
    </w:rPr>
  </w:style>
  <w:style w:type="paragraph" w:customStyle="1" w:styleId="30">
    <w:name w:val="_Style 23"/>
    <w:basedOn w:val="6"/>
    <w:semiHidden/>
    <w:qFormat/>
    <w:uiPriority w:val="0"/>
    <w:pPr>
      <w:shd w:val="clear" w:color="auto" w:fill="000080"/>
    </w:pPr>
    <w:rPr>
      <w:rFonts w:ascii="Tahoma" w:hAnsi="Tahoma"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jaudit/C:\home\tjaudit\C:\Users\24700\Desktop\&#24050;&#25913;\&#22825;&#27941;&#24066;&#23457;&#35745;&#23616;&#24179;&#34892;&#12289;&#199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关于印发《天津市审计局普法责任清单》的通知（定稿打印版）18.11.8.dot</Template>
  <Pages>4</Pages>
  <Words>1370</Words>
  <Characters>1393</Characters>
  <Lines>10</Lines>
  <Paragraphs>3</Paragraphs>
  <TotalTime>1</TotalTime>
  <ScaleCrop>false</ScaleCrop>
  <LinksUpToDate>false</LinksUpToDate>
  <CharactersWithSpaces>1450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2022-05-18T05:18:00Z</dcterms:created>
  <dc:creator>曹作鹏</dc:creator>
  <cp:lastModifiedBy>王晔</cp:lastModifiedBy>
  <dcterms:modified xsi:type="dcterms:W3CDTF">2023-06-30T15:35:28Z</dcterms:modified>
  <dc:title>审经意〔2000〕447号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2BC23F0314824AF9804F35247F3DA0C4</vt:lpwstr>
  </property>
  <property fmtid="{D5CDD505-2E9C-101B-9397-08002B2CF9AE}" pid="4" name="tempId">
    <vt:lpwstr>01S4SeDfp5YXO97leYpqSP.docx</vt:lpwstr>
  </property>
  <property fmtid="{D5CDD505-2E9C-101B-9397-08002B2CF9AE}" pid="5" name="handleFileFlag">
    <vt:lpwstr>1</vt:lpwstr>
  </property>
  <property fmtid="{D5CDD505-2E9C-101B-9397-08002B2CF9AE}" pid="6" name="openType">
    <vt:lpwstr>0</vt:lpwstr>
  </property>
  <property fmtid="{D5CDD505-2E9C-101B-9397-08002B2CF9AE}" pid="7" name="showFlag">
    <vt:lpwstr>true</vt:lpwstr>
  </property>
  <property fmtid="{D5CDD505-2E9C-101B-9397-08002B2CF9AE}" pid="8" name="close">
    <vt:lpwstr>true</vt:lpwstr>
  </property>
  <property fmtid="{D5CDD505-2E9C-101B-9397-08002B2CF9AE}" pid="9" name="docId">
    <vt:r8>1652429565644.05</vt:r8>
  </property>
  <property fmtid="{D5CDD505-2E9C-101B-9397-08002B2CF9AE}" pid="10" name="fileName">
    <vt:lpwstr>https://oa.tjaudit.gov.cn:8080/file/2QiFzG1Jt0SWNGk1NU6Nnn.docx?type=wps&amp;OSS_FLAG=1</vt:lpwstr>
  </property>
  <property fmtid="{D5CDD505-2E9C-101B-9397-08002B2CF9AE}" pid="11" name="fileTextName">
    <vt:lpwstr>关于印发天津市审计局普法责任清单的通知.docx</vt:lpwstr>
  </property>
  <property fmtid="{D5CDD505-2E9C-101B-9397-08002B2CF9AE}" pid="12" name="orgDocId">
    <vt:lpwstr>2QiFzG1Jt0SWNGk1NU6Nnn.docx</vt:lpwstr>
  </property>
  <property fmtid="{D5CDD505-2E9C-101B-9397-08002B2CF9AE}" pid="13" name="saveOriginFile">
    <vt:i4>3</vt:i4>
  </property>
  <property fmtid="{D5CDD505-2E9C-101B-9397-08002B2CF9AE}" pid="14" name="uploadNewPath">
    <vt:lpwstr>https://oa.tjaudit.gov.cn:8080/file?listener=OA_GW_GONGWEN&amp;hisType=ZHENGWEN&amp;fileFlowType=文印室&amp;ifGuiDang=1&amp;orgDocId=2QiFzG1Jt0SWNGk1NU6Nnn.docx&amp;docId=1652429565644.0525&amp;dataId=1OrOourFF04HrRF2YZzkPb&amp;fileName=关于印发天津市审计局普法责任清单的通知.docx&amp;itemCode=WENGAO&amp;keepMetaData=true&amp;type=wps&amp;NIID=01zSb3A0rFaeX5txnTOMqlR&amp;servId=OA_GW_GONGWEN_TPB_XZFW_TJ&amp;X-XSRF-TOKEN=73514340520f34f673541ef60d9311eb&amp;X-DEVICE-NAME=@USER_CODE@&amp;OSS_FLAG=1</vt:lpwstr>
  </property>
  <property fmtid="{D5CDD505-2E9C-101B-9397-08002B2CF9AE}" pid="15" name="uploadPath">
    <vt:lpwstr>https://oa.tjaudit.gov.cn:8080/file/2QiFzG1Jt0SWNGk1NU6Nnn.docx?keepMetaData=true&amp;type=wps&amp;NIID=01zSb3A0rFaeX5txnTOMqlR&amp;model=saveHist&amp;QINGGAOTYPE=FEIQINGGAO&amp;X-XSRF-TOKEN=73514340520f34f673541ef60d9311eb&amp;X-DEVICE-NAME=@USER_CODE@&amp;OSS_FLAG=1</vt:lpwstr>
  </property>
  <property fmtid="{D5CDD505-2E9C-101B-9397-08002B2CF9AE}" pid="16" name="ribbonExt">
    <vt:lpwstr>{"WPSExtOfficeTab":{"OnGetEnabled":true,"OnGetVisible":true},"btnClearRevDoc":{"GetImage":"icon/clearComments.png","OnGetEnabled":true,"OnGetLabel":"清稿","OnGetVisible":true}}</vt:lpwstr>
  </property>
  <property fmtid="{D5CDD505-2E9C-101B-9397-08002B2CF9AE}" pid="17" name="docName">
    <vt:lpwstr>关于印发天津市审计局普法责任清单的通知.docx</vt:lpwstr>
  </property>
</Properties>
</file>