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宋体"/>
          <w:b/>
          <w:sz w:val="36"/>
          <w:szCs w:val="44"/>
        </w:rPr>
      </w:pPr>
      <w:r>
        <w:rPr>
          <w:rFonts w:hint="eastAsia" w:eastAsia="宋体"/>
          <w:b/>
          <w:sz w:val="36"/>
          <w:szCs w:val="44"/>
        </w:rPr>
        <w:t>国省级公路日常养护</w:t>
      </w:r>
      <w:r>
        <w:rPr>
          <w:rFonts w:hint="eastAsia" w:eastAsia="宋体"/>
          <w:b/>
          <w:sz w:val="36"/>
          <w:szCs w:val="44"/>
          <w:lang w:eastAsia="zh-CN"/>
        </w:rPr>
        <w:t>费用项目</w:t>
      </w:r>
      <w:r>
        <w:rPr>
          <w:rFonts w:eastAsia="宋体"/>
          <w:b/>
          <w:sz w:val="36"/>
          <w:szCs w:val="44"/>
        </w:rPr>
        <w:t>绩效自评报告</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一、绩效目标分解下达情况</w:t>
      </w:r>
    </w:p>
    <w:p>
      <w:pPr>
        <w:snapToGrid w:val="0"/>
        <w:spacing w:line="580" w:lineRule="exact"/>
        <w:ind w:firstLine="600" w:firstLineChars="200"/>
        <w:outlineLvl w:val="0"/>
        <w:rPr>
          <w:rFonts w:ascii="仿宋_GB2312"/>
          <w:szCs w:val="32"/>
        </w:rPr>
      </w:pPr>
      <w:r>
        <w:rPr>
          <w:rFonts w:ascii="仿宋_GB2312"/>
          <w:szCs w:val="32"/>
        </w:rPr>
        <w:tab/>
      </w:r>
      <w:r>
        <w:rPr>
          <w:rFonts w:hint="eastAsia" w:ascii="仿宋_GB2312"/>
          <w:szCs w:val="32"/>
        </w:rPr>
        <w:t>1、转移支付预算情况：根据天津市财政局《天津市财政局关于提前下达2022年交通运输专项转移支付资金的通知》（津财基指【2021】92号）文件精神，2022年市级补贴资金228.14万元，其中市级资金228.14万元。</w:t>
      </w:r>
    </w:p>
    <w:p>
      <w:pPr>
        <w:snapToGrid w:val="0"/>
        <w:spacing w:line="580" w:lineRule="exact"/>
        <w:ind w:firstLine="600" w:firstLineChars="200"/>
        <w:outlineLvl w:val="0"/>
        <w:rPr>
          <w:rFonts w:ascii="仿宋_GB2312"/>
          <w:szCs w:val="32"/>
        </w:rPr>
      </w:pPr>
      <w:r>
        <w:rPr>
          <w:rFonts w:hint="eastAsia" w:ascii="仿宋_GB2312"/>
          <w:szCs w:val="32"/>
        </w:rPr>
        <w:t>2、资金来源：全部为</w:t>
      </w:r>
      <w:r>
        <w:rPr>
          <w:rFonts w:hint="eastAsia" w:ascii="仿宋_GB2312"/>
          <w:szCs w:val="32"/>
          <w:lang w:val="en-US" w:eastAsia="zh-CN"/>
        </w:rPr>
        <w:t>2021年</w:t>
      </w:r>
      <w:r>
        <w:rPr>
          <w:rFonts w:hint="eastAsia" w:ascii="仿宋_GB2312"/>
          <w:szCs w:val="32"/>
        </w:rPr>
        <w:t>市对区转移支付资金。其中市级资金228.14万元，为2021年结转资金。</w:t>
      </w:r>
    </w:p>
    <w:p>
      <w:pPr>
        <w:snapToGrid w:val="0"/>
        <w:spacing w:line="580" w:lineRule="exact"/>
        <w:ind w:firstLine="600" w:firstLineChars="200"/>
        <w:outlineLvl w:val="0"/>
        <w:rPr>
          <w:rFonts w:ascii="仿宋_GB2312"/>
          <w:szCs w:val="32"/>
        </w:rPr>
      </w:pPr>
      <w:r>
        <w:rPr>
          <w:rFonts w:hint="eastAsia" w:ascii="仿宋_GB2312"/>
          <w:szCs w:val="32"/>
        </w:rPr>
        <w:t>3、绩效目标：国省级公路日常养护</w:t>
      </w:r>
      <w:r>
        <w:rPr>
          <w:rFonts w:hint="eastAsia" w:ascii="仿宋_GB2312"/>
          <w:szCs w:val="32"/>
          <w:lang w:eastAsia="zh-CN"/>
        </w:rPr>
        <w:t>项目</w:t>
      </w:r>
      <w:r>
        <w:rPr>
          <w:rFonts w:hint="eastAsia" w:ascii="仿宋_GB2312"/>
          <w:szCs w:val="32"/>
        </w:rPr>
        <w:t>进行</w:t>
      </w:r>
      <w:r>
        <w:rPr>
          <w:rFonts w:hint="eastAsia" w:ascii="仿宋_GB2312"/>
          <w:szCs w:val="32"/>
          <w:lang w:eastAsia="zh-CN"/>
        </w:rPr>
        <w:t>补贴</w:t>
      </w:r>
      <w:r>
        <w:rPr>
          <w:rFonts w:hint="eastAsia" w:ascii="仿宋_GB2312"/>
          <w:szCs w:val="32"/>
        </w:rPr>
        <w:t>，涉及我区辖区178.49公里（路面440.66万平方米，中小桥4.24万平方米，绿化56.77万平方米及护栏、挡墙、护坡、泵站、服务区等附属设施）普通国省级公路的日常养管工作。</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二、绩效情况分析</w:t>
      </w:r>
    </w:p>
    <w:p>
      <w:pPr>
        <w:snapToGrid w:val="0"/>
        <w:spacing w:line="580" w:lineRule="exact"/>
        <w:ind w:firstLine="602" w:firstLineChars="200"/>
        <w:outlineLvl w:val="0"/>
        <w:rPr>
          <w:rFonts w:ascii="仿宋_GB2312" w:hAnsi="仿宋_GB2312" w:cs="仿宋_GB2312"/>
          <w:szCs w:val="32"/>
        </w:rPr>
      </w:pPr>
      <w:r>
        <w:rPr>
          <w:rFonts w:hint="eastAsia" w:ascii="楷体_GB2312" w:hAnsi="楷体_GB2312" w:eastAsia="楷体_GB2312" w:cs="楷体_GB2312"/>
          <w:b/>
          <w:bCs/>
          <w:szCs w:val="32"/>
        </w:rPr>
        <w:t>（一）资金投入情况分析。</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本项目预算资金为</w:t>
      </w:r>
      <w:r>
        <w:rPr>
          <w:rFonts w:hint="eastAsia" w:ascii="仿宋_GB2312"/>
          <w:szCs w:val="32"/>
        </w:rPr>
        <w:t>228.14</w:t>
      </w:r>
      <w:r>
        <w:rPr>
          <w:rFonts w:hint="eastAsia" w:ascii="仿宋_GB2312" w:hAnsi="仿宋_GB2312" w:cs="仿宋_GB2312"/>
          <w:szCs w:val="32"/>
        </w:rPr>
        <w:t>万元，截止2022年底，国省级公路日常养护</w:t>
      </w:r>
      <w:r>
        <w:rPr>
          <w:rFonts w:hint="eastAsia" w:ascii="仿宋_GB2312" w:hAnsi="仿宋_GB2312" w:cs="仿宋_GB2312"/>
          <w:szCs w:val="32"/>
          <w:lang w:eastAsia="zh-CN"/>
        </w:rPr>
        <w:t>费用</w:t>
      </w:r>
      <w:r>
        <w:rPr>
          <w:rFonts w:hint="eastAsia" w:ascii="仿宋_GB2312" w:hAnsi="仿宋_GB2312" w:cs="仿宋_GB2312"/>
          <w:szCs w:val="32"/>
        </w:rPr>
        <w:t>执行资金为</w:t>
      </w:r>
      <w:r>
        <w:rPr>
          <w:rFonts w:hint="eastAsia" w:ascii="仿宋_GB2312"/>
          <w:szCs w:val="32"/>
        </w:rPr>
        <w:t>228.14</w:t>
      </w:r>
      <w:r>
        <w:rPr>
          <w:rFonts w:hint="eastAsia" w:ascii="仿宋_GB2312" w:hAnsi="仿宋_GB2312" w:cs="仿宋_GB2312"/>
          <w:szCs w:val="32"/>
        </w:rPr>
        <w:t>万元，资金执行率为</w:t>
      </w:r>
      <w:r>
        <w:rPr>
          <w:rFonts w:hint="eastAsia" w:ascii="仿宋_GB2312" w:hAnsi="仿宋_GB2312" w:cs="仿宋_GB2312"/>
          <w:szCs w:val="32"/>
          <w:lang w:val="en-US" w:eastAsia="zh-CN"/>
        </w:rPr>
        <w:t>100</w:t>
      </w:r>
      <w:r>
        <w:rPr>
          <w:rFonts w:hint="eastAsia" w:ascii="仿宋_GB2312" w:hAnsi="仿宋_GB2312" w:cs="仿宋_GB2312"/>
          <w:szCs w:val="32"/>
        </w:rPr>
        <w:t>%。</w:t>
      </w:r>
    </w:p>
    <w:p>
      <w:pPr>
        <w:snapToGrid w:val="0"/>
        <w:spacing w:line="580" w:lineRule="exact"/>
        <w:ind w:firstLine="602" w:firstLineChars="200"/>
        <w:outlineLvl w:val="0"/>
        <w:rPr>
          <w:rFonts w:ascii="仿宋_GB2312" w:hAnsi="仿宋_GB2312" w:cs="仿宋_GB2312"/>
          <w:szCs w:val="32"/>
        </w:rPr>
      </w:pPr>
      <w:r>
        <w:rPr>
          <w:rFonts w:hint="eastAsia" w:ascii="楷体_GB2312" w:hAnsi="楷体_GB2312" w:eastAsia="楷体_GB2312" w:cs="楷体_GB2312"/>
          <w:b/>
          <w:bCs/>
          <w:szCs w:val="32"/>
        </w:rPr>
        <w:t>（二）资金管理情况分析。</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1、资金分配情况：</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国省级公路日常养护</w:t>
      </w:r>
      <w:r>
        <w:rPr>
          <w:rFonts w:hint="eastAsia" w:ascii="仿宋_GB2312" w:hAnsi="仿宋_GB2312" w:cs="仿宋_GB2312"/>
          <w:szCs w:val="32"/>
          <w:lang w:eastAsia="zh-CN"/>
        </w:rPr>
        <w:t>费用项目</w:t>
      </w:r>
      <w:r>
        <w:rPr>
          <w:rFonts w:hint="eastAsia" w:ascii="仿宋_GB2312" w:hAnsi="仿宋_GB2312" w:cs="仿宋_GB2312"/>
          <w:szCs w:val="32"/>
        </w:rPr>
        <w:t>资金共计</w:t>
      </w:r>
      <w:r>
        <w:rPr>
          <w:rFonts w:hint="eastAsia" w:ascii="仿宋_GB2312"/>
          <w:szCs w:val="32"/>
        </w:rPr>
        <w:t>228.14</w:t>
      </w:r>
      <w:r>
        <w:rPr>
          <w:rFonts w:hint="eastAsia" w:ascii="仿宋_GB2312" w:hAnsi="仿宋_GB2312" w:cs="仿宋_GB2312"/>
          <w:szCs w:val="32"/>
        </w:rPr>
        <w:t>万元。实际执行资金</w:t>
      </w:r>
      <w:r>
        <w:rPr>
          <w:rFonts w:hint="eastAsia" w:ascii="仿宋_GB2312"/>
          <w:szCs w:val="32"/>
        </w:rPr>
        <w:t>228.14</w:t>
      </w:r>
      <w:r>
        <w:rPr>
          <w:rFonts w:hint="eastAsia" w:ascii="仿宋_GB2312" w:hAnsi="仿宋_GB2312" w:cs="仿宋_GB2312"/>
          <w:szCs w:val="32"/>
        </w:rPr>
        <w:t>万元，资金执行率为</w:t>
      </w:r>
      <w:r>
        <w:rPr>
          <w:rFonts w:hint="eastAsia" w:ascii="仿宋_GB2312" w:hAnsi="仿宋_GB2312" w:cs="仿宋_GB2312"/>
          <w:szCs w:val="32"/>
          <w:lang w:val="en-US" w:eastAsia="zh-CN"/>
        </w:rPr>
        <w:t>100</w:t>
      </w:r>
      <w:r>
        <w:rPr>
          <w:rFonts w:hint="eastAsia" w:ascii="仿宋_GB2312" w:hAnsi="仿宋_GB2312" w:cs="仿宋_GB2312"/>
          <w:szCs w:val="32"/>
        </w:rPr>
        <w:t>%。</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其中：养护资金直接用于日常养护工作</w:t>
      </w:r>
      <w:r>
        <w:rPr>
          <w:rFonts w:hint="eastAsia" w:ascii="仿宋_GB2312"/>
          <w:szCs w:val="32"/>
        </w:rPr>
        <w:t>228.14</w:t>
      </w:r>
      <w:r>
        <w:rPr>
          <w:rFonts w:hint="eastAsia" w:ascii="仿宋_GB2312" w:hAnsi="仿宋_GB2312" w:cs="仿宋_GB2312"/>
          <w:szCs w:val="32"/>
        </w:rPr>
        <w:t>万元，已拨付</w:t>
      </w:r>
      <w:r>
        <w:rPr>
          <w:rFonts w:hint="eastAsia" w:ascii="仿宋_GB2312"/>
          <w:szCs w:val="32"/>
        </w:rPr>
        <w:t>228.14</w:t>
      </w:r>
      <w:r>
        <w:rPr>
          <w:rFonts w:hint="eastAsia" w:ascii="仿宋_GB2312" w:hAnsi="仿宋_GB2312" w:cs="仿宋_GB2312"/>
          <w:szCs w:val="32"/>
        </w:rPr>
        <w:t>万元，占比</w:t>
      </w:r>
      <w:r>
        <w:rPr>
          <w:rFonts w:hint="eastAsia" w:ascii="仿宋_GB2312" w:hAnsi="仿宋_GB2312" w:cs="仿宋_GB2312"/>
          <w:szCs w:val="32"/>
          <w:lang w:val="en-US" w:eastAsia="zh-CN"/>
        </w:rPr>
        <w:t>100</w:t>
      </w:r>
      <w:r>
        <w:rPr>
          <w:rFonts w:hint="eastAsia" w:ascii="仿宋_GB2312" w:hAnsi="仿宋_GB2312" w:cs="仿宋_GB2312"/>
          <w:szCs w:val="32"/>
        </w:rPr>
        <w:t>%。</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2、预算绩效管理情况</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分配科学性</w:t>
      </w:r>
      <w:r>
        <w:rPr>
          <w:rFonts w:hint="eastAsia" w:ascii="仿宋_GB2312" w:hAnsi="仿宋_GB2312" w:cs="仿宋_GB2312"/>
          <w:szCs w:val="32"/>
        </w:rPr>
        <w:t>：依据天津市人民政府2010年发布的《关于深化我市公路养护管理体制改革的意见》（津政发[2010]24号）、《天津市财政局关于提前下达2022年交通运输专项转移支付资金的通知》（津财基指[2021]92号）要求，科学分配资金。</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下达及时性</w:t>
      </w:r>
      <w:r>
        <w:rPr>
          <w:rFonts w:hint="eastAsia" w:ascii="仿宋_GB2312" w:hAnsi="仿宋_GB2312" w:cs="仿宋_GB2312"/>
          <w:szCs w:val="32"/>
        </w:rPr>
        <w:t>：依据2021年11月19日《天津市财政局关于提前下达2022年交通运输专项转移支付资金的通知》（津财基指[2021]92号），2022年结转我区市级补贴资金228.144608万元，2022年12月31日前，区财政局下达西青区交通局</w:t>
      </w:r>
      <w:r>
        <w:rPr>
          <w:rFonts w:hint="eastAsia" w:ascii="仿宋_GB2312"/>
          <w:szCs w:val="32"/>
        </w:rPr>
        <w:t>228.14</w:t>
      </w:r>
      <w:r>
        <w:rPr>
          <w:rFonts w:hint="eastAsia" w:ascii="仿宋_GB2312" w:hAnsi="仿宋_GB2312" w:cs="仿宋_GB2312"/>
          <w:szCs w:val="32"/>
        </w:rPr>
        <w:t>万元，全部下达。。</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拨付合规性</w:t>
      </w:r>
      <w:r>
        <w:rPr>
          <w:rFonts w:hint="eastAsia" w:ascii="仿宋_GB2312" w:hAnsi="仿宋_GB2312" w:cs="仿宋_GB2312"/>
          <w:szCs w:val="32"/>
        </w:rPr>
        <w:t>：依据项目合同约定及相关协议，区财政局统一拨款至各资金使用单位，未出现违规将资金从国库转入财政专户或支付到预算单位实有资金账户等问题。</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使用规范性</w:t>
      </w:r>
      <w:r>
        <w:rPr>
          <w:rFonts w:hint="eastAsia" w:ascii="仿宋_GB2312" w:hAnsi="仿宋_GB2312" w:cs="仿宋_GB2312"/>
          <w:szCs w:val="32"/>
        </w:rPr>
        <w:t>：按照津政发[2010]24号文要求，严格按照下达预算的科目和项目执行，公路养管资金全部用于公路养管工作，做到专款专用，未出现截留、挤占、挪用或擅自调整等问题。</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执行准确性</w:t>
      </w:r>
      <w:r>
        <w:rPr>
          <w:rFonts w:hint="eastAsia" w:ascii="仿宋_GB2312" w:hAnsi="仿宋_GB2312" w:cs="仿宋_GB2312"/>
          <w:szCs w:val="32"/>
        </w:rPr>
        <w:t>：严格按照上级下达和本级财政预算安排的金额执行，其中截止到2022年底，市级资金预算执行率100%。</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预算绩效管理情况</w:t>
      </w:r>
      <w:r>
        <w:rPr>
          <w:rFonts w:hint="eastAsia" w:ascii="仿宋_GB2312" w:hAnsi="仿宋_GB2312" w:cs="仿宋_GB2312"/>
          <w:szCs w:val="32"/>
        </w:rPr>
        <w:t>：在细化下达预算时同步下达绩效目标，将有关资金纳入转移支付绩效管理，依法、合理使用建设资金，加强公路养护资金的监督与检查。</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支出责任履行情况</w:t>
      </w:r>
      <w:r>
        <w:rPr>
          <w:rFonts w:hint="eastAsia" w:ascii="仿宋_GB2312" w:hAnsi="仿宋_GB2312" w:cs="仿宋_GB2312"/>
          <w:szCs w:val="32"/>
        </w:rPr>
        <w:t>：按照财政事权和支出责任划分有关规定，目前各合同已完成项目验收及资金支付。</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政策目标实现情况</w:t>
      </w:r>
      <w:r>
        <w:rPr>
          <w:rFonts w:hint="eastAsia" w:ascii="仿宋_GB2312" w:hAnsi="仿宋_GB2312" w:cs="仿宋_GB2312"/>
          <w:szCs w:val="32"/>
        </w:rPr>
        <w:t>：全年总体政策目标全部完成，包括：我区养护公路里程178.49公里，养护路面面积440.66万平方米，养护桥梁面积4.24万平方米，养护绿化面积56.77万平方米。</w:t>
      </w:r>
    </w:p>
    <w:p>
      <w:pPr>
        <w:snapToGrid w:val="0"/>
        <w:spacing w:line="580" w:lineRule="exact"/>
        <w:ind w:firstLine="602" w:firstLineChars="200"/>
        <w:outlineLvl w:val="0"/>
        <w:rPr>
          <w:rFonts w:ascii="仿宋_GB2312" w:hAnsi="仿宋_GB2312" w:cs="仿宋_GB2312"/>
          <w:szCs w:val="32"/>
        </w:rPr>
      </w:pPr>
      <w:r>
        <w:rPr>
          <w:rFonts w:hint="eastAsia" w:ascii="楷体_GB2312" w:hAnsi="楷体_GB2312" w:eastAsia="楷体_GB2312" w:cs="楷体_GB2312"/>
          <w:b/>
          <w:bCs/>
          <w:szCs w:val="32"/>
        </w:rPr>
        <w:t>（三）总体绩效目标完成情况分析。</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国省级公路日常养护</w:t>
      </w:r>
      <w:r>
        <w:rPr>
          <w:rFonts w:hint="eastAsia" w:ascii="仿宋_GB2312" w:hAnsi="仿宋_GB2312" w:cs="仿宋_GB2312"/>
          <w:szCs w:val="32"/>
          <w:lang w:eastAsia="zh-CN"/>
        </w:rPr>
        <w:t>费用项目</w:t>
      </w:r>
      <w:r>
        <w:rPr>
          <w:rFonts w:hint="eastAsia" w:ascii="仿宋_GB2312" w:hAnsi="仿宋_GB2312" w:cs="仿宋_GB2312"/>
          <w:b/>
          <w:bCs/>
          <w:szCs w:val="32"/>
          <w:lang w:val="en-US" w:eastAsia="zh-CN"/>
        </w:rPr>
        <w:t>全年完成情况</w:t>
      </w:r>
      <w:r>
        <w:rPr>
          <w:rFonts w:hint="eastAsia" w:ascii="仿宋_GB2312" w:hAnsi="仿宋_GB2312" w:cs="仿宋_GB2312"/>
          <w:szCs w:val="32"/>
        </w:rPr>
        <w:t>为“对国省级公路日常养护</w:t>
      </w:r>
      <w:r>
        <w:rPr>
          <w:rFonts w:hint="eastAsia" w:ascii="仿宋_GB2312" w:hAnsi="仿宋_GB2312" w:cs="仿宋_GB2312"/>
          <w:szCs w:val="32"/>
          <w:lang w:eastAsia="zh-CN"/>
        </w:rPr>
        <w:t>项目</w:t>
      </w:r>
      <w:r>
        <w:rPr>
          <w:rFonts w:hint="eastAsia" w:ascii="仿宋_GB2312" w:hAnsi="仿宋_GB2312" w:cs="仿宋_GB2312"/>
          <w:szCs w:val="32"/>
        </w:rPr>
        <w:t>进行</w:t>
      </w:r>
      <w:r>
        <w:rPr>
          <w:rFonts w:hint="eastAsia" w:ascii="仿宋_GB2312" w:hAnsi="仿宋_GB2312" w:cs="仿宋_GB2312"/>
          <w:szCs w:val="32"/>
          <w:lang w:eastAsia="zh-CN"/>
        </w:rPr>
        <w:t>补助</w:t>
      </w:r>
      <w:r>
        <w:rPr>
          <w:rFonts w:hint="eastAsia" w:ascii="仿宋_GB2312" w:hAnsi="仿宋_GB2312" w:cs="仿宋_GB2312"/>
          <w:szCs w:val="32"/>
        </w:rPr>
        <w:t>，涉及我区辖区178.49公里（路面440.66万平方米，中小桥4.24万平方米，绿化56.77万平方米及护栏、挡墙、护坡、泵站、服务区等附属设施）普通国省级公路的日常养管工作。”</w:t>
      </w:r>
    </w:p>
    <w:p>
      <w:pPr>
        <w:snapToGrid w:val="0"/>
        <w:spacing w:line="580" w:lineRule="exact"/>
        <w:ind w:firstLine="602" w:firstLineChars="200"/>
        <w:outlineLvl w:val="0"/>
        <w:rPr>
          <w:rFonts w:ascii="仿宋_GB2312"/>
          <w:szCs w:val="32"/>
        </w:rPr>
      </w:pPr>
      <w:r>
        <w:rPr>
          <w:rFonts w:hint="eastAsia" w:ascii="楷体_GB2312" w:hAnsi="楷体_GB2312" w:eastAsia="楷体_GB2312" w:cs="楷体_GB2312"/>
          <w:b/>
          <w:bCs/>
          <w:szCs w:val="32"/>
        </w:rPr>
        <w:t>（四）绩效指标完成情况分析。</w:t>
      </w:r>
    </w:p>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70"/>
        <w:gridCol w:w="570"/>
        <w:gridCol w:w="571"/>
        <w:gridCol w:w="1384"/>
        <w:gridCol w:w="1566"/>
        <w:gridCol w:w="1466"/>
        <w:gridCol w:w="571"/>
        <w:gridCol w:w="571"/>
        <w:gridCol w:w="12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绩效指标</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一级</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指标</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二级指标</w:t>
            </w: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三级指标</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指标值</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全年实际完成值</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产</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出</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指</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标</w:t>
            </w:r>
          </w:p>
        </w:tc>
        <w:tc>
          <w:tcPr>
            <w:tcW w:w="39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路面维护扫保面积</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≥44.5万平方米</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48万平方米</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养护公路里程（公里）</w:t>
            </w:r>
          </w:p>
        </w:tc>
        <w:tc>
          <w:tcPr>
            <w:tcW w:w="78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=178.49公里</w:t>
            </w:r>
          </w:p>
        </w:tc>
        <w:tc>
          <w:tcPr>
            <w:tcW w:w="54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178.49公里</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养护路面面积（万平米）</w:t>
            </w:r>
          </w:p>
        </w:tc>
        <w:tc>
          <w:tcPr>
            <w:tcW w:w="78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=440.66万平米</w:t>
            </w:r>
          </w:p>
        </w:tc>
        <w:tc>
          <w:tcPr>
            <w:tcW w:w="54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440.66万平米</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养护桥梁面积（万平米）</w:t>
            </w:r>
          </w:p>
        </w:tc>
        <w:tc>
          <w:tcPr>
            <w:tcW w:w="78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=4.24万平米</w:t>
            </w:r>
          </w:p>
        </w:tc>
        <w:tc>
          <w:tcPr>
            <w:tcW w:w="54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4.24万平米</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养护绿化面积（万平米）</w:t>
            </w:r>
          </w:p>
        </w:tc>
        <w:tc>
          <w:tcPr>
            <w:tcW w:w="78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=56.77万平米</w:t>
            </w:r>
          </w:p>
        </w:tc>
        <w:tc>
          <w:tcPr>
            <w:tcW w:w="54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56.77万平米</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公路养护维修质量合格率</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养护材料验收合格率</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时效指标</w:t>
            </w: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公路养护维修及时率</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公路养护投资费用</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≤228.1万元</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228.1万元</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效</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益</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指</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标</w:t>
            </w:r>
          </w:p>
        </w:tc>
        <w:tc>
          <w:tcPr>
            <w:tcW w:w="39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指标</w:t>
            </w: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保障公路完好畅通</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完成了国省级公路日常养护工作，保障了公路完好畅通，全部达成预期指标</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提供良好的公路通行环境</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该指标设置有误。已新增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可持续影响指标</w:t>
            </w: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建立健全西青区普通公路日常养护保障机制</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建立健全</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已建立健全西青区普通公路日常养护保障机制，保障了西青区普通公路日常养护工作可持续开展，全部达成预期指标</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服务对象</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8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道路通行人员满意度</w:t>
            </w:r>
          </w:p>
        </w:tc>
        <w:tc>
          <w:tcPr>
            <w:tcW w:w="7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≥85%</w:t>
            </w:r>
          </w:p>
        </w:tc>
        <w:tc>
          <w:tcPr>
            <w:tcW w:w="5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3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79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bl>
    <w:p>
      <w:pPr>
        <w:snapToGrid w:val="0"/>
        <w:spacing w:line="580" w:lineRule="exact"/>
        <w:ind w:firstLine="600" w:firstLineChars="200"/>
        <w:rPr>
          <w:rFonts w:hint="eastAsia" w:ascii="黑体" w:hAnsi="黑体" w:eastAsia="黑体" w:cs="黑体"/>
          <w:bCs/>
          <w:szCs w:val="32"/>
        </w:rPr>
      </w:pPr>
    </w:p>
    <w:p>
      <w:pPr>
        <w:snapToGrid w:val="0"/>
        <w:spacing w:line="580" w:lineRule="exact"/>
        <w:ind w:firstLine="600" w:firstLineChars="200"/>
        <w:rPr>
          <w:rFonts w:ascii="仿宋_GB2312"/>
          <w:szCs w:val="32"/>
        </w:rPr>
      </w:pPr>
      <w:r>
        <w:rPr>
          <w:rFonts w:hint="eastAsia" w:ascii="黑体" w:hAnsi="黑体" w:eastAsia="黑体" w:cs="黑体"/>
          <w:bCs/>
          <w:szCs w:val="32"/>
        </w:rPr>
        <w:t>三、偏离绩效目标的原因和下一步改进措施</w:t>
      </w:r>
    </w:p>
    <w:p>
      <w:pPr>
        <w:snapToGrid w:val="0"/>
        <w:spacing w:line="580" w:lineRule="exact"/>
        <w:ind w:firstLine="600" w:firstLineChars="200"/>
        <w:rPr>
          <w:rFonts w:hint="eastAsia" w:ascii="仿宋_GB2312" w:eastAsia="黑体"/>
          <w:szCs w:val="32"/>
          <w:lang w:val="en-US" w:eastAsia="zh-CN"/>
        </w:rPr>
      </w:pPr>
      <w:r>
        <w:rPr>
          <w:rFonts w:hint="eastAsia" w:ascii="仿宋_GB2312"/>
          <w:szCs w:val="32"/>
          <w:lang w:val="en-US" w:eastAsia="zh-CN"/>
        </w:rPr>
        <w:t>无</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四、绩效自评结果拟应用和公开情况</w:t>
      </w:r>
    </w:p>
    <w:p>
      <w:pPr>
        <w:snapToGrid w:val="0"/>
        <w:spacing w:line="580" w:lineRule="exact"/>
        <w:ind w:firstLine="600" w:firstLineChars="200"/>
      </w:pPr>
      <w:r>
        <w:rPr>
          <w:rFonts w:hint="eastAsia" w:ascii="仿宋_GB2312"/>
          <w:szCs w:val="32"/>
        </w:rPr>
        <w:t>经过本次自评打分，2022年度国省级公路日常养护补助</w:t>
      </w:r>
      <w:r>
        <w:rPr>
          <w:rFonts w:hint="eastAsia" w:ascii="仿宋_GB2312"/>
          <w:szCs w:val="32"/>
          <w:lang w:eastAsia="zh-CN"/>
        </w:rPr>
        <w:t>项目</w:t>
      </w:r>
      <w:r>
        <w:rPr>
          <w:rFonts w:hint="eastAsia" w:ascii="仿宋_GB2312"/>
          <w:szCs w:val="32"/>
        </w:rPr>
        <w:t>绩效自评得分</w:t>
      </w:r>
      <w:r>
        <w:rPr>
          <w:rFonts w:hint="eastAsia" w:ascii="仿宋_GB2312"/>
          <w:szCs w:val="32"/>
          <w:lang w:val="en-US" w:eastAsia="zh-CN"/>
        </w:rPr>
        <w:t>100</w:t>
      </w:r>
      <w:r>
        <w:rPr>
          <w:rFonts w:hint="eastAsia" w:ascii="仿宋_GB2312"/>
          <w:szCs w:val="32"/>
        </w:rPr>
        <w:t>分，其中：资金投入情况得</w:t>
      </w:r>
      <w:r>
        <w:rPr>
          <w:rFonts w:hint="eastAsia" w:ascii="仿宋_GB2312"/>
          <w:szCs w:val="32"/>
          <w:lang w:val="en-US" w:eastAsia="zh-CN"/>
        </w:rPr>
        <w:t>10</w:t>
      </w:r>
      <w:r>
        <w:rPr>
          <w:rFonts w:hint="eastAsia" w:ascii="仿宋_GB2312"/>
          <w:szCs w:val="32"/>
        </w:rPr>
        <w:t>分，资金管理情况情况得</w:t>
      </w:r>
      <w:r>
        <w:rPr>
          <w:rFonts w:hint="eastAsia" w:ascii="仿宋_GB2312"/>
          <w:szCs w:val="32"/>
          <w:lang w:val="en-US" w:eastAsia="zh-CN"/>
        </w:rPr>
        <w:t>40</w:t>
      </w:r>
      <w:r>
        <w:rPr>
          <w:rFonts w:hint="eastAsia" w:ascii="仿宋_GB2312"/>
          <w:szCs w:val="32"/>
        </w:rPr>
        <w:t>分，产出指标情况得</w:t>
      </w:r>
      <w:r>
        <w:rPr>
          <w:rFonts w:hint="eastAsia" w:ascii="仿宋_GB2312"/>
          <w:szCs w:val="32"/>
          <w:lang w:val="en-US" w:eastAsia="zh-CN"/>
        </w:rPr>
        <w:t>36</w:t>
      </w:r>
      <w:r>
        <w:rPr>
          <w:rFonts w:hint="eastAsia" w:ascii="仿宋_GB2312"/>
          <w:szCs w:val="32"/>
        </w:rPr>
        <w:t>分，效益指标得</w:t>
      </w:r>
      <w:r>
        <w:rPr>
          <w:rFonts w:hint="eastAsia" w:ascii="仿宋_GB2312"/>
          <w:szCs w:val="32"/>
          <w:lang w:val="en-US" w:eastAsia="zh-CN"/>
        </w:rPr>
        <w:t>8</w:t>
      </w:r>
      <w:r>
        <w:rPr>
          <w:rFonts w:hint="eastAsia" w:ascii="仿宋_GB2312"/>
          <w:szCs w:val="32"/>
        </w:rPr>
        <w:t>分，满意度指标得</w:t>
      </w:r>
      <w:r>
        <w:rPr>
          <w:rFonts w:hint="eastAsia" w:ascii="仿宋_GB2312"/>
          <w:szCs w:val="32"/>
          <w:lang w:val="en-US" w:eastAsia="zh-CN"/>
        </w:rPr>
        <w:t>6</w:t>
      </w:r>
      <w:r>
        <w:rPr>
          <w:rFonts w:hint="eastAsia" w:ascii="仿宋_GB2312"/>
          <w:szCs w:val="32"/>
        </w:rPr>
        <w:t>分。</w:t>
      </w:r>
      <w:r>
        <w:rPr>
          <w:rFonts w:hint="eastAsia"/>
        </w:rPr>
        <w:t>国省级公路日常养护补助项目绩效自评结果拟应用于2023年国省级公路日常养护工作中。</w:t>
      </w:r>
      <w:bookmarkStart w:id="0" w:name="_GoBack"/>
      <w:bookmarkEnd w:id="0"/>
      <w:r>
        <w:rPr>
          <w:rFonts w:hint="eastAsia" w:ascii="仿宋_GB2312"/>
          <w:szCs w:val="32"/>
        </w:rPr>
        <w:t>自评结果的应用按照上级要求执行，</w:t>
      </w:r>
      <w:r>
        <w:rPr>
          <w:rFonts w:hint="eastAsia"/>
        </w:rPr>
        <w:t>绩效自评结果拟“经申请后公开”。</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五、其他需要说明的问题</w:t>
      </w:r>
    </w:p>
    <w:p>
      <w:pPr>
        <w:snapToGrid w:val="0"/>
        <w:spacing w:line="580" w:lineRule="exact"/>
        <w:ind w:firstLine="600" w:firstLineChars="200"/>
      </w:pPr>
      <w:r>
        <w:rPr>
          <w:rFonts w:hint="eastAsia"/>
        </w:rPr>
        <w:t>无。</w:t>
      </w:r>
    </w:p>
    <w:p>
      <w:pPr>
        <w:snapToGrid w:val="0"/>
        <w:spacing w:line="580" w:lineRule="exact"/>
        <w:ind w:firstLine="600" w:firstLineChars="200"/>
        <w:rPr>
          <w:rFonts w:ascii="黑体" w:hAnsi="黑体" w:eastAsia="黑体" w:cs="黑体"/>
        </w:rPr>
      </w:pPr>
      <w:r>
        <w:rPr>
          <w:rFonts w:hint="eastAsia" w:ascii="黑体" w:hAnsi="黑体" w:eastAsia="黑体" w:cs="黑体"/>
        </w:rPr>
        <w:t>六、附件</w:t>
      </w:r>
    </w:p>
    <w:p>
      <w:pPr>
        <w:snapToGrid w:val="0"/>
        <w:spacing w:line="580" w:lineRule="exact"/>
        <w:ind w:firstLine="600" w:firstLineChars="200"/>
      </w:pPr>
      <w:r>
        <w:rPr>
          <w:rFonts w:hint="eastAsia"/>
        </w:rPr>
        <w:t>国省级公路日常养护</w:t>
      </w:r>
      <w:r>
        <w:rPr>
          <w:rFonts w:hint="eastAsia"/>
          <w:lang w:eastAsia="zh-CN"/>
        </w:rPr>
        <w:t>费用项目</w:t>
      </w:r>
      <w:r>
        <w:rPr>
          <w:rFonts w:hint="eastAsia"/>
        </w:rPr>
        <w:t>绩效目标自评表</w:t>
      </w:r>
    </w:p>
    <w:p>
      <w:pPr>
        <w:snapToGrid w:val="0"/>
        <w:spacing w:line="580" w:lineRule="exact"/>
        <w:ind w:firstLine="600" w:firstLineChars="200"/>
      </w:pPr>
      <w:r>
        <w:rPr>
          <w:rFonts w:hint="eastAsia"/>
        </w:rPr>
        <w:t>自评人：刘中凯   27939157</w:t>
      </w:r>
    </w:p>
    <w:p>
      <w:pPr>
        <w:snapToGrid w:val="0"/>
        <w:spacing w:line="580" w:lineRule="exact"/>
        <w:ind w:firstLine="600" w:firstLineChars="20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dit="readOnly" w:enforcement="0"/>
  <w:defaultTabStop w:val="420"/>
  <w:drawingGridHorizontalSpacing w:val="150"/>
  <w:drawingGridVerticalSpacing w:val="581"/>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M5ZGNhYTczMDk1MTUxNWM4OGQyY2UyMWY2Mjk3YTA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C32A3"/>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95CDA"/>
    <w:rsid w:val="00ED3E0F"/>
    <w:rsid w:val="00F015E4"/>
    <w:rsid w:val="00F57F82"/>
    <w:rsid w:val="00F75224"/>
    <w:rsid w:val="00F91EAE"/>
    <w:rsid w:val="00FA086C"/>
    <w:rsid w:val="00FA2093"/>
    <w:rsid w:val="00FA357A"/>
    <w:rsid w:val="00FD6D97"/>
    <w:rsid w:val="037D0BC8"/>
    <w:rsid w:val="06871684"/>
    <w:rsid w:val="0845082D"/>
    <w:rsid w:val="09E965F2"/>
    <w:rsid w:val="0E622EA1"/>
    <w:rsid w:val="0FF7AA4F"/>
    <w:rsid w:val="139840D3"/>
    <w:rsid w:val="14266EDA"/>
    <w:rsid w:val="143E091F"/>
    <w:rsid w:val="14865FC8"/>
    <w:rsid w:val="14DE7322"/>
    <w:rsid w:val="150C2DB0"/>
    <w:rsid w:val="1531415F"/>
    <w:rsid w:val="167A0481"/>
    <w:rsid w:val="1A7D29EA"/>
    <w:rsid w:val="1D994BCF"/>
    <w:rsid w:val="1E761F05"/>
    <w:rsid w:val="1F7BE1E6"/>
    <w:rsid w:val="1FC7205C"/>
    <w:rsid w:val="228B3D05"/>
    <w:rsid w:val="284E74F8"/>
    <w:rsid w:val="28802F8D"/>
    <w:rsid w:val="2ADB48E8"/>
    <w:rsid w:val="2CEF19A8"/>
    <w:rsid w:val="33F3775C"/>
    <w:rsid w:val="36363350"/>
    <w:rsid w:val="36687282"/>
    <w:rsid w:val="367793B2"/>
    <w:rsid w:val="370D68B3"/>
    <w:rsid w:val="3794FC37"/>
    <w:rsid w:val="38EF7AD8"/>
    <w:rsid w:val="391478F3"/>
    <w:rsid w:val="3E1672E6"/>
    <w:rsid w:val="3EB9C2BB"/>
    <w:rsid w:val="3FEF6A07"/>
    <w:rsid w:val="415F08D8"/>
    <w:rsid w:val="44E2230F"/>
    <w:rsid w:val="48B51347"/>
    <w:rsid w:val="491B45FA"/>
    <w:rsid w:val="4A55216A"/>
    <w:rsid w:val="4D5E38B2"/>
    <w:rsid w:val="4D7E7CFA"/>
    <w:rsid w:val="4FE0696A"/>
    <w:rsid w:val="543670AA"/>
    <w:rsid w:val="546F8569"/>
    <w:rsid w:val="55673508"/>
    <w:rsid w:val="574263ED"/>
    <w:rsid w:val="59595A6F"/>
    <w:rsid w:val="597350B8"/>
    <w:rsid w:val="599330CA"/>
    <w:rsid w:val="5A4528F8"/>
    <w:rsid w:val="5A7FCB1F"/>
    <w:rsid w:val="5BFA2D36"/>
    <w:rsid w:val="5CFE60E7"/>
    <w:rsid w:val="5DD05070"/>
    <w:rsid w:val="5E117046"/>
    <w:rsid w:val="5FEAF7C9"/>
    <w:rsid w:val="60D5009F"/>
    <w:rsid w:val="62A16F63"/>
    <w:rsid w:val="62DD41A1"/>
    <w:rsid w:val="63675F6A"/>
    <w:rsid w:val="64AC2E11"/>
    <w:rsid w:val="65814FAE"/>
    <w:rsid w:val="660721C9"/>
    <w:rsid w:val="661E6C75"/>
    <w:rsid w:val="66DF4F02"/>
    <w:rsid w:val="67F75FF5"/>
    <w:rsid w:val="680A5C4F"/>
    <w:rsid w:val="681D4831"/>
    <w:rsid w:val="685260F5"/>
    <w:rsid w:val="692E4B19"/>
    <w:rsid w:val="69513EF7"/>
    <w:rsid w:val="6BF3256F"/>
    <w:rsid w:val="6CE7018A"/>
    <w:rsid w:val="6E3E3F2D"/>
    <w:rsid w:val="715B2F02"/>
    <w:rsid w:val="755B2632"/>
    <w:rsid w:val="76A548F2"/>
    <w:rsid w:val="771D8487"/>
    <w:rsid w:val="7765772E"/>
    <w:rsid w:val="776F5E62"/>
    <w:rsid w:val="77867685"/>
    <w:rsid w:val="77EE7FE7"/>
    <w:rsid w:val="781F36B6"/>
    <w:rsid w:val="790627AD"/>
    <w:rsid w:val="79DFF8C4"/>
    <w:rsid w:val="7ADC59FA"/>
    <w:rsid w:val="7AFF2FC3"/>
    <w:rsid w:val="7BF6B4C5"/>
    <w:rsid w:val="7BFE7780"/>
    <w:rsid w:val="7DDD794F"/>
    <w:rsid w:val="7DFA6624"/>
    <w:rsid w:val="7DFD8AD7"/>
    <w:rsid w:val="7DFEFB95"/>
    <w:rsid w:val="7ECD6B9A"/>
    <w:rsid w:val="7FBA576D"/>
    <w:rsid w:val="7FDE47D5"/>
    <w:rsid w:val="7FFD003D"/>
    <w:rsid w:val="94BFC172"/>
    <w:rsid w:val="9BFA614C"/>
    <w:rsid w:val="BADD5EBB"/>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FAFB80B"/>
    <w:rsid w:val="FFF9F86D"/>
    <w:rsid w:val="FFFFF9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1941</Words>
  <Characters>2286</Characters>
  <Lines>15</Lines>
  <Paragraphs>4</Paragraphs>
  <TotalTime>1</TotalTime>
  <ScaleCrop>false</ScaleCrop>
  <LinksUpToDate>false</LinksUpToDate>
  <CharactersWithSpaces>2302</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2019-02-17T14:26:00Z</dcterms:created>
  <dc:creator>lhn</dc:creator>
  <cp:lastModifiedBy>greatwall</cp:lastModifiedBy>
  <cp:lastPrinted>2023-03-24T15:06:00Z</cp:lastPrinted>
  <dcterms:modified xsi:type="dcterms:W3CDTF">2023-08-17T11:15:18Z</dcterms:modified>
  <dc:title>财政支出绩效评价报告</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0F4482A5BDB3498D8B8A8335E8EBEE5F_12</vt:lpwstr>
  </property>
</Properties>
</file>