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eastAsia="黑体"/>
          <w:w w:val="95"/>
          <w:sz w:val="32"/>
          <w:szCs w:val="32"/>
        </w:rPr>
      </w:pPr>
      <w:r>
        <w:rPr>
          <w:rFonts w:eastAsia="黑体"/>
          <w:w w:val="95"/>
          <w:sz w:val="32"/>
          <w:szCs w:val="32"/>
        </w:rPr>
        <w:t>附件1</w:t>
      </w:r>
    </w:p>
    <w:p>
      <w:pPr>
        <w:spacing w:line="600" w:lineRule="exact"/>
        <w:jc w:val="both"/>
        <w:rPr>
          <w:rFonts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hint="eastAsia" w:eastAsia="黑体"/>
          <w:w w:val="95"/>
          <w:sz w:val="44"/>
          <w:szCs w:val="44"/>
        </w:rPr>
        <w:t>天津市西青区城乡居民基本医疗保险服务中心2021</w:t>
      </w:r>
      <w:r>
        <w:rPr>
          <w:rFonts w:eastAsia="黑体"/>
          <w:w w:val="95"/>
          <w:sz w:val="44"/>
          <w:szCs w:val="44"/>
        </w:rPr>
        <w:t>年部门预算编制说明</w:t>
      </w:r>
    </w:p>
    <w:p>
      <w:pPr>
        <w:spacing w:line="600" w:lineRule="exact"/>
        <w:ind w:firstLine="640" w:firstLineChars="200"/>
        <w:rPr>
          <w:rFonts w:eastAsia="仿宋_GB2312"/>
          <w:color w:val="FF0000"/>
          <w:sz w:val="32"/>
          <w:szCs w:val="32"/>
        </w:rPr>
      </w:pPr>
    </w:p>
    <w:p>
      <w:pPr>
        <w:pStyle w:val="2"/>
        <w:keepNext/>
        <w:keepLines/>
        <w:spacing w:beforeLines="0" w:afterLines="0" w:line="600" w:lineRule="exact"/>
        <w:ind w:firstLine="601"/>
        <w:rPr>
          <w:rFonts w:hint="default" w:hAnsi="Times New Roman" w:cs="黑体"/>
          <w:b/>
          <w:sz w:val="30"/>
          <w:szCs w:val="30"/>
          <w:lang w:val="zh-CN"/>
        </w:rPr>
      </w:pPr>
      <w:r>
        <w:rPr>
          <w:rFonts w:hint="eastAsia" w:hAnsi="Times New Roman" w:cs="黑体"/>
          <w:b/>
          <w:sz w:val="30"/>
          <w:szCs w:val="30"/>
          <w:lang w:val="zh-CN"/>
        </w:rPr>
        <w:t>一、主要职责</w:t>
      </w:r>
    </w:p>
    <w:p>
      <w:pPr>
        <w:spacing w:beforeLines="0" w:afterLines="0" w:line="580" w:lineRule="exact"/>
        <w:ind w:firstLine="600" w:firstLineChars="200"/>
        <w:rPr>
          <w:rFonts w:hint="default" w:eastAsia="仿宋_GB2312"/>
          <w:sz w:val="30"/>
          <w:szCs w:val="30"/>
        </w:rPr>
      </w:pPr>
      <w:r>
        <w:rPr>
          <w:rFonts w:hint="eastAsia" w:ascii="Times New Roman" w:hAnsi="Times New Roman" w:eastAsia="仿宋_GB2312" w:cs="Arial"/>
          <w:sz w:val="30"/>
          <w:szCs w:val="30"/>
        </w:rPr>
        <w:t>天津市西青区城乡居民基本医疗保险服务中心</w:t>
      </w:r>
      <w:r>
        <w:rPr>
          <w:rFonts w:hint="eastAsia" w:ascii="仿宋_GB2312" w:eastAsia="仿宋_GB2312"/>
          <w:sz w:val="32"/>
          <w:szCs w:val="32"/>
        </w:rPr>
        <w:t>负责组织本区城乡居民基本医疗保险相关宣传工作；对定点医疗机构的城乡居民诊疗服务进行监督检查；负责城乡居民垫付医疗费用的审核及支付</w:t>
      </w:r>
      <w:r>
        <w:rPr>
          <w:rFonts w:hint="eastAsia" w:ascii="仿宋_GB2312" w:hAnsi="Times New Roman" w:eastAsia="仿宋_GB2312" w:cs="仿宋_GB2312"/>
          <w:sz w:val="30"/>
          <w:szCs w:val="30"/>
        </w:rPr>
        <w:t>。</w:t>
      </w:r>
    </w:p>
    <w:p>
      <w:pPr>
        <w:pStyle w:val="2"/>
        <w:keepNext/>
        <w:keepLines/>
        <w:spacing w:beforeLines="0" w:afterLines="0" w:line="600" w:lineRule="exact"/>
        <w:ind w:firstLine="602"/>
        <w:rPr>
          <w:rFonts w:hint="default" w:hAnsi="Times New Roman" w:cs="黑体"/>
          <w:b/>
          <w:sz w:val="30"/>
          <w:szCs w:val="30"/>
          <w:lang w:val="zh-CN"/>
        </w:rPr>
      </w:pPr>
      <w:r>
        <w:rPr>
          <w:rFonts w:hint="eastAsia" w:hAnsi="Times New Roman" w:cs="黑体"/>
          <w:b/>
          <w:sz w:val="30"/>
          <w:szCs w:val="30"/>
          <w:lang w:val="zh-CN"/>
        </w:rPr>
        <w:t>二、机构设置</w:t>
      </w:r>
    </w:p>
    <w:p>
      <w:pPr>
        <w:spacing w:beforeLines="0" w:afterLines="0" w:line="580" w:lineRule="exact"/>
        <w:ind w:firstLine="600"/>
        <w:rPr>
          <w:rFonts w:hint="default" w:ascii="仿宋_GB2312" w:hAnsi="Times New Roman" w:eastAsia="仿宋_GB2312" w:cs="仿宋_GB2312"/>
          <w:kern w:val="2"/>
          <w:sz w:val="30"/>
          <w:szCs w:val="30"/>
          <w:lang w:val="zh-CN"/>
        </w:rPr>
      </w:pPr>
      <w:r>
        <w:rPr>
          <w:rFonts w:hint="eastAsia" w:ascii="仿宋" w:hAnsi="Times New Roman" w:eastAsia="仿宋" w:cs="仿宋"/>
          <w:kern w:val="2"/>
          <w:sz w:val="30"/>
          <w:szCs w:val="30"/>
          <w:lang w:val="zh-CN"/>
        </w:rPr>
        <w:t>天津市西青区城乡居民基本医疗保险服务中心无</w:t>
      </w:r>
      <w:r>
        <w:rPr>
          <w:rFonts w:hint="eastAsia" w:ascii="仿宋_GB2312" w:hAnsi="Times New Roman" w:eastAsia="仿宋_GB2312" w:cs="仿宋_GB2312"/>
          <w:kern w:val="2"/>
          <w:sz w:val="30"/>
          <w:szCs w:val="30"/>
          <w:lang w:val="zh-CN"/>
        </w:rPr>
        <w:t>内设个职能科室。</w:t>
      </w:r>
      <w:r>
        <w:rPr>
          <w:rFonts w:hint="eastAsia" w:ascii="仿宋_GB2312" w:hAnsi="Times New Roman" w:eastAsia="仿宋_GB2312" w:cs="仿宋_GB2312"/>
          <w:sz w:val="30"/>
          <w:szCs w:val="30"/>
        </w:rPr>
        <w:t>纳入</w:t>
      </w:r>
      <w:r>
        <w:rPr>
          <w:rFonts w:hint="eastAsia" w:ascii="仿宋" w:hAnsi="Times New Roman" w:eastAsia="仿宋" w:cs="仿宋"/>
          <w:kern w:val="2"/>
          <w:sz w:val="30"/>
          <w:szCs w:val="30"/>
          <w:lang w:val="zh-CN"/>
        </w:rPr>
        <w:t>天津市西青区城乡居民基本医疗保险服务中心</w:t>
      </w:r>
      <w:r>
        <w:rPr>
          <w:rFonts w:hint="default" w:ascii="Times New Roman" w:hAnsi="Times New Roman" w:eastAsia="仿宋"/>
          <w:sz w:val="30"/>
          <w:szCs w:val="30"/>
        </w:rPr>
        <w:t>2021</w:t>
      </w:r>
      <w:r>
        <w:rPr>
          <w:rFonts w:hint="eastAsia" w:ascii="仿宋_GB2312" w:hAnsi="Times New Roman" w:eastAsia="仿宋_GB2312" w:cs="仿宋_GB2312"/>
          <w:sz w:val="30"/>
          <w:szCs w:val="30"/>
        </w:rPr>
        <w:t>年部门决算编制范围的单位包括：</w:t>
      </w:r>
    </w:p>
    <w:p>
      <w:pPr>
        <w:spacing w:beforeLines="0" w:afterLines="0" w:line="600" w:lineRule="exact"/>
        <w:ind w:firstLine="600"/>
        <w:rPr>
          <w:rFonts w:hint="default" w:ascii="Times New Roman" w:hAnsi="Times New Roman" w:eastAsia="仿宋_GB2312"/>
          <w:sz w:val="30"/>
          <w:szCs w:val="30"/>
        </w:rPr>
      </w:pPr>
      <w:r>
        <w:rPr>
          <w:rFonts w:hint="eastAsia" w:ascii="宋体" w:hAnsi="Times New Roman" w:eastAsia="宋体" w:cs="宋体"/>
          <w:sz w:val="24"/>
          <w:szCs w:val="24"/>
        </w:rPr>
        <w:t>1</w:t>
      </w:r>
      <w:r>
        <w:rPr>
          <w:rFonts w:hint="default" w:ascii="宋体" w:hAnsi="Times New Roman" w:eastAsia="宋体" w:cs="宋体"/>
          <w:sz w:val="24"/>
          <w:szCs w:val="24"/>
        </w:rPr>
        <w:t>.</w:t>
      </w:r>
      <w:r>
        <w:rPr>
          <w:rFonts w:hint="eastAsia" w:ascii="仿宋" w:hAnsi="Times New Roman" w:eastAsia="仿宋" w:cs="仿宋"/>
          <w:kern w:val="2"/>
          <w:sz w:val="30"/>
          <w:szCs w:val="30"/>
          <w:lang w:val="zh-CN"/>
        </w:rPr>
        <w:t>天津市西青区城乡居民基本医疗保险服务中心</w:t>
      </w:r>
      <w:r>
        <w:rPr>
          <w:rFonts w:hint="eastAsia" w:ascii="仿宋_GB2312" w:hAnsi="Times New Roman" w:eastAsia="仿宋_GB2312" w:cs="仿宋_GB2312"/>
          <w:sz w:val="30"/>
          <w:szCs w:val="30"/>
        </w:rPr>
        <w:t>本级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三、部门预算草案编制情况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（一）部门收入预算情况说明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天津市西青区城乡居民基本医疗保险服务中心</w:t>
      </w:r>
      <w:r>
        <w:rPr>
          <w:rFonts w:eastAsia="仿宋_GB2312"/>
          <w:sz w:val="30"/>
          <w:szCs w:val="30"/>
        </w:rPr>
        <w:t>收入预算</w:t>
      </w:r>
      <w:r>
        <w:rPr>
          <w:rFonts w:hint="eastAsia" w:eastAsia="仿宋_GB2312"/>
          <w:sz w:val="30"/>
          <w:szCs w:val="30"/>
          <w:u w:val="single"/>
        </w:rPr>
        <w:t>136.11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</w:t>
      </w:r>
      <w:r>
        <w:rPr>
          <w:rFonts w:hint="eastAsia" w:eastAsia="仿宋_GB2312"/>
          <w:sz w:val="30"/>
          <w:szCs w:val="30"/>
          <w:lang w:val="en-US" w:eastAsia="zh-CN"/>
        </w:rPr>
        <w:t>增加</w:t>
      </w:r>
      <w:r>
        <w:rPr>
          <w:rFonts w:hint="eastAsia" w:eastAsia="仿宋_GB2312"/>
          <w:sz w:val="30"/>
          <w:szCs w:val="30"/>
          <w:u w:val="single"/>
        </w:rPr>
        <w:t>136.11</w:t>
      </w:r>
      <w:r>
        <w:rPr>
          <w:rFonts w:eastAsia="仿宋_GB2312"/>
          <w:sz w:val="30"/>
          <w:szCs w:val="30"/>
        </w:rPr>
        <w:t>万元。其中，本年收入合计</w:t>
      </w:r>
      <w:r>
        <w:rPr>
          <w:rFonts w:hint="eastAsia" w:eastAsia="仿宋_GB2312"/>
          <w:sz w:val="30"/>
          <w:szCs w:val="30"/>
          <w:u w:val="single"/>
        </w:rPr>
        <w:t>136.11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</w:t>
      </w:r>
      <w:r>
        <w:rPr>
          <w:rFonts w:hint="eastAsia" w:eastAsia="仿宋_GB2312"/>
          <w:sz w:val="30"/>
          <w:szCs w:val="30"/>
          <w:lang w:val="en-US" w:eastAsia="zh-CN"/>
        </w:rPr>
        <w:t>增加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136.11</w:t>
      </w:r>
      <w:r>
        <w:rPr>
          <w:rFonts w:eastAsia="仿宋_GB2312"/>
          <w:sz w:val="30"/>
          <w:szCs w:val="30"/>
        </w:rPr>
        <w:t>万元，包括</w:t>
      </w:r>
      <w:r>
        <w:rPr>
          <w:rFonts w:hint="eastAsia" w:eastAsia="仿宋_GB2312"/>
          <w:sz w:val="30"/>
          <w:szCs w:val="30"/>
        </w:rPr>
        <w:t>财政拨款预算收入</w:t>
      </w:r>
      <w:r>
        <w:rPr>
          <w:rFonts w:hint="eastAsia" w:eastAsia="仿宋_GB2312"/>
          <w:sz w:val="30"/>
          <w:szCs w:val="30"/>
          <w:u w:val="single"/>
        </w:rPr>
        <w:t>136.11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非同级财政拨款预算收入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、事业预算收入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经营预算收入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上级补助预算收入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附属单位上缴预算收入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投资预算收益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其他预算收入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万元；上年结转和结余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（二）部门支出预算情况说明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天津市西青区城乡居民基本医疗保险服务中心</w:t>
      </w:r>
      <w:r>
        <w:rPr>
          <w:rFonts w:eastAsia="仿宋_GB2312"/>
          <w:sz w:val="30"/>
          <w:szCs w:val="30"/>
        </w:rPr>
        <w:t>支出预算</w:t>
      </w:r>
      <w:r>
        <w:rPr>
          <w:rFonts w:hint="eastAsia" w:eastAsia="仿宋_GB2312"/>
          <w:sz w:val="30"/>
          <w:szCs w:val="30"/>
          <w:u w:val="single"/>
        </w:rPr>
        <w:t>136.11</w:t>
      </w:r>
      <w:r>
        <w:rPr>
          <w:rFonts w:eastAsia="仿宋_GB2312"/>
          <w:sz w:val="30"/>
          <w:szCs w:val="30"/>
        </w:rPr>
        <w:t>万元，与</w:t>
      </w:r>
      <w:r>
        <w:rPr>
          <w:rFonts w:hint="eastAsia" w:eastAsia="仿宋_GB2312"/>
          <w:sz w:val="30"/>
          <w:szCs w:val="30"/>
        </w:rPr>
        <w:t>2020</w:t>
      </w:r>
      <w:r>
        <w:rPr>
          <w:rFonts w:eastAsia="仿宋_GB2312"/>
          <w:sz w:val="30"/>
          <w:szCs w:val="30"/>
        </w:rPr>
        <w:t>年预算相比</w:t>
      </w:r>
      <w:r>
        <w:rPr>
          <w:rFonts w:hint="eastAsia" w:eastAsia="仿宋_GB2312"/>
          <w:sz w:val="30"/>
          <w:szCs w:val="30"/>
          <w:lang w:val="en-US" w:eastAsia="zh-CN"/>
        </w:rPr>
        <w:t>增加</w:t>
      </w:r>
      <w:r>
        <w:rPr>
          <w:rFonts w:hint="eastAsia" w:eastAsia="仿宋_GB2312"/>
          <w:sz w:val="30"/>
          <w:szCs w:val="30"/>
          <w:u w:val="single"/>
        </w:rPr>
        <w:t>136.11</w:t>
      </w:r>
      <w:r>
        <w:rPr>
          <w:rFonts w:eastAsia="仿宋_GB2312"/>
          <w:sz w:val="30"/>
          <w:szCs w:val="30"/>
        </w:rPr>
        <w:t>万元，其中：</w:t>
      </w:r>
      <w:r>
        <w:rPr>
          <w:rFonts w:hint="eastAsia" w:eastAsia="仿宋_GB2312"/>
          <w:sz w:val="30"/>
          <w:szCs w:val="30"/>
        </w:rPr>
        <w:t xml:space="preserve">  行政事业单位医疗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5.94</w:t>
      </w:r>
      <w:r>
        <w:rPr>
          <w:rFonts w:hint="eastAsia" w:eastAsia="仿宋_GB2312"/>
          <w:sz w:val="30"/>
          <w:szCs w:val="30"/>
          <w:lang w:val="en-US" w:eastAsia="zh-CN"/>
        </w:rPr>
        <w:t>万元；</w:t>
      </w:r>
      <w:r>
        <w:rPr>
          <w:rFonts w:hint="eastAsia" w:eastAsia="仿宋_GB2312"/>
          <w:sz w:val="30"/>
          <w:szCs w:val="30"/>
        </w:rPr>
        <w:t>医疗保障管理事务（15款）</w:t>
      </w:r>
      <w:r>
        <w:rPr>
          <w:rFonts w:hint="eastAsia" w:eastAsia="仿宋_GB2312"/>
          <w:sz w:val="30"/>
          <w:szCs w:val="30"/>
          <w:u w:val="single"/>
        </w:rPr>
        <w:t>117.18</w:t>
      </w:r>
      <w:r>
        <w:rPr>
          <w:rFonts w:hint="eastAsia" w:eastAsia="仿宋_GB2312"/>
          <w:sz w:val="30"/>
          <w:szCs w:val="30"/>
        </w:rPr>
        <w:t>万元，</w:t>
      </w:r>
      <w:r>
        <w:rPr>
          <w:rFonts w:eastAsia="仿宋_GB2312"/>
          <w:sz w:val="30"/>
          <w:szCs w:val="30"/>
        </w:rPr>
        <w:t>主要用于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西青区城乡居民医保补助和医疗保障事务管理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</w:t>
      </w:r>
      <w:r>
        <w:rPr>
          <w:rFonts w:eastAsia="黑体"/>
          <w:sz w:val="30"/>
          <w:szCs w:val="30"/>
        </w:rPr>
        <w:t>、其他重要事项的情况说明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（一）机关运行经费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天津市西青区城乡居民基本医疗保险服务中心</w:t>
      </w:r>
      <w:r>
        <w:rPr>
          <w:rFonts w:hint="eastAsia" w:eastAsia="仿宋_GB2312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年安排机关运行经费预算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13.91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包括办公费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1.92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、水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14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、电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24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、邮电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19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、物业管理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4.32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、差旅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38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、维修（护）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14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、培训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19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、公务接待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0.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06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、工会经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1.45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、福利</w:t>
      </w:r>
      <w:r>
        <w:rPr>
          <w:rFonts w:eastAsia="仿宋_GB2312"/>
          <w:sz w:val="30"/>
          <w:szCs w:val="30"/>
        </w:rPr>
        <w:t>费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0.7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、其他交通</w:t>
      </w:r>
      <w:r>
        <w:rPr>
          <w:rFonts w:eastAsia="仿宋_GB2312"/>
          <w:sz w:val="30"/>
          <w:szCs w:val="30"/>
        </w:rPr>
        <w:t>费</w:t>
      </w:r>
      <w:r>
        <w:rPr>
          <w:rFonts w:hint="eastAsia" w:eastAsia="仿宋_GB2312"/>
          <w:sz w:val="30"/>
          <w:szCs w:val="30"/>
        </w:rPr>
        <w:t>用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、其他商品和服务支出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4.18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（二）政府采购情况</w:t>
      </w:r>
    </w:p>
    <w:p>
      <w:pPr>
        <w:spacing w:line="5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天津市西青区城乡居民基本医疗保险服务中心</w:t>
      </w:r>
      <w:r>
        <w:rPr>
          <w:rFonts w:hint="eastAsia" w:eastAsia="仿宋_GB2312"/>
          <w:sz w:val="30"/>
          <w:szCs w:val="30"/>
        </w:rPr>
        <w:t>2021</w:t>
      </w:r>
      <w:r>
        <w:rPr>
          <w:rFonts w:eastAsia="仿宋_GB2312"/>
          <w:sz w:val="30"/>
          <w:szCs w:val="30"/>
        </w:rPr>
        <w:t>年安排政府采购预算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其中：政府采购货物支出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万元、政府采购工程支出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万元、政府采购服务支出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0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万元。</w:t>
      </w:r>
      <w:r>
        <w:rPr>
          <w:rFonts w:hint="eastAsia" w:eastAsia="仿宋_GB2312"/>
          <w:color w:val="000000"/>
          <w:sz w:val="30"/>
          <w:szCs w:val="30"/>
        </w:rPr>
        <w:t>主要</w:t>
      </w:r>
      <w:r>
        <w:rPr>
          <w:rFonts w:eastAsia="仿宋_GB2312"/>
          <w:color w:val="000000"/>
          <w:sz w:val="30"/>
          <w:szCs w:val="30"/>
        </w:rPr>
        <w:t>项目是</w:t>
      </w:r>
      <w:r>
        <w:rPr>
          <w:rFonts w:hint="eastAsia" w:eastAsia="仿宋_GB2312"/>
          <w:color w:val="000000"/>
          <w:sz w:val="30"/>
          <w:szCs w:val="30"/>
        </w:rPr>
        <w:t>：西青区定点医药机构监督检查委托业务项目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，</w:t>
      </w:r>
      <w:r>
        <w:rPr>
          <w:rFonts w:hint="eastAsia" w:ascii="Times New Roman" w:hAnsi="Times New Roman" w:eastAsia="仿宋_GB2312"/>
          <w:sz w:val="30"/>
          <w:szCs w:val="30"/>
        </w:rPr>
        <w:t>医保报销（事业单位二次报销）外包服务</w:t>
      </w:r>
      <w:r>
        <w:rPr>
          <w:rFonts w:hint="eastAsia" w:eastAsia="仿宋_GB2312"/>
          <w:color w:val="000000"/>
          <w:sz w:val="30"/>
          <w:szCs w:val="30"/>
        </w:rPr>
        <w:t>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国有资产占用情况</w:t>
      </w:r>
    </w:p>
    <w:p>
      <w:pPr>
        <w:spacing w:line="580" w:lineRule="exact"/>
        <w:ind w:firstLine="600" w:firstLineChars="200"/>
        <w:jc w:val="both"/>
        <w:rPr>
          <w:rFonts w:ascii="仿宋_GB2312" w:hAnsi="宋体" w:eastAsia="仿宋_GB2312" w:cs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截至</w:t>
      </w:r>
      <w:r>
        <w:rPr>
          <w:rFonts w:hint="eastAsia" w:eastAsia="仿宋_GB2312"/>
          <w:color w:val="000000"/>
          <w:sz w:val="30"/>
          <w:szCs w:val="30"/>
        </w:rPr>
        <w:t>2020</w:t>
      </w:r>
      <w:r>
        <w:rPr>
          <w:rFonts w:eastAsia="仿宋_GB2312"/>
          <w:color w:val="000000"/>
          <w:sz w:val="30"/>
          <w:szCs w:val="30"/>
        </w:rPr>
        <w:t>年</w:t>
      </w:r>
      <w:r>
        <w:rPr>
          <w:rFonts w:hint="eastAsia" w:eastAsia="仿宋_GB2312"/>
          <w:color w:val="000000"/>
          <w:sz w:val="30"/>
          <w:szCs w:val="30"/>
        </w:rPr>
        <w:t>末</w:t>
      </w:r>
      <w:r>
        <w:rPr>
          <w:rFonts w:eastAsia="仿宋_GB2312"/>
          <w:color w:val="000000"/>
          <w:sz w:val="30"/>
          <w:szCs w:val="30"/>
        </w:rPr>
        <w:t>，</w:t>
      </w: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天津市西青区城乡居民基本医疗保险服务中心</w:t>
      </w:r>
      <w:r>
        <w:rPr>
          <w:rFonts w:eastAsia="仿宋_GB2312"/>
          <w:color w:val="000000"/>
          <w:sz w:val="30"/>
          <w:szCs w:val="30"/>
        </w:rPr>
        <w:t>各单位共有车辆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辆，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其中：副部（省）级及以上领导用车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辆、主要领导干部用车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辆、机要通信用车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>辆、应急保障用车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eastAsia="仿宋_GB2312"/>
          <w:sz w:val="30"/>
          <w:szCs w:val="30"/>
        </w:rPr>
        <w:t>辆、执法执勤用车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eastAsia="仿宋_GB2312"/>
          <w:sz w:val="30"/>
          <w:szCs w:val="30"/>
        </w:rPr>
        <w:t>辆、特种专业技术用车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>辆、离退休干部用车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eastAsia="仿宋_GB2312"/>
          <w:sz w:val="30"/>
          <w:szCs w:val="30"/>
        </w:rPr>
        <w:t>辆、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其他用车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辆，</w:t>
      </w:r>
      <w:r>
        <w:rPr>
          <w:rFonts w:ascii="仿宋_GB2312" w:eastAsia="仿宋_GB2312"/>
          <w:sz w:val="30"/>
          <w:szCs w:val="30"/>
        </w:rPr>
        <w:t>其他用车主要包括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。单价50万元以上的通用设备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台（套），单价100万元以上的专用设备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0 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台（套）。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绩效目标设置情况</w:t>
      </w:r>
    </w:p>
    <w:p>
      <w:pPr>
        <w:spacing w:line="580" w:lineRule="exact"/>
        <w:ind w:firstLine="600" w:firstLineChars="200"/>
        <w:jc w:val="both"/>
        <w:rPr>
          <w:rFonts w:eastAsia="仿宋_GB2312"/>
          <w:color w:val="000000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>2021</w:t>
      </w:r>
      <w:r>
        <w:rPr>
          <w:rFonts w:eastAsia="仿宋_GB2312"/>
          <w:color w:val="000000"/>
          <w:sz w:val="30"/>
          <w:szCs w:val="30"/>
        </w:rPr>
        <w:t>年，</w:t>
      </w:r>
      <w:r>
        <w:rPr>
          <w:rFonts w:hint="eastAsia" w:ascii="仿宋" w:hAnsi="Times New Roman" w:eastAsia="仿宋" w:cs="仿宋"/>
          <w:sz w:val="30"/>
          <w:szCs w:val="30"/>
          <w:lang w:val="zh-CN"/>
        </w:rPr>
        <w:t>天津市西青区城乡居民基本医疗保险服务中心</w:t>
      </w:r>
      <w:r>
        <w:rPr>
          <w:rFonts w:eastAsia="仿宋_GB2312"/>
          <w:color w:val="000000"/>
          <w:sz w:val="30"/>
          <w:szCs w:val="30"/>
        </w:rPr>
        <w:t>实行绩效目标管理的项目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个，涉及预算金额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1.96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五</w:t>
      </w:r>
      <w:r>
        <w:rPr>
          <w:rFonts w:eastAsia="楷体_GB2312"/>
          <w:b/>
          <w:sz w:val="30"/>
          <w:szCs w:val="30"/>
        </w:rPr>
        <w:t>）专业性名词解释</w:t>
      </w:r>
    </w:p>
    <w:p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line="580" w:lineRule="exact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2.机关运行经费。反映为保障行政单位（含参照公务员管理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六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关于空表的说明</w:t>
      </w:r>
    </w:p>
    <w:p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1.</w:t>
      </w:r>
      <w:r>
        <w:rPr>
          <w:rFonts w:hint="eastAsia" w:eastAsia="楷体_GB2312"/>
          <w:sz w:val="30"/>
          <w:szCs w:val="30"/>
          <w:lang w:val="zh-CN"/>
        </w:rPr>
        <w:t>天津市西青区城乡居民基本医疗保险服务中心</w:t>
      </w:r>
      <w:r>
        <w:rPr>
          <w:rFonts w:hint="eastAsia" w:eastAsia="楷体_GB2312"/>
          <w:sz w:val="30"/>
          <w:szCs w:val="30"/>
        </w:rPr>
        <w:t>2021</w:t>
      </w:r>
      <w:r>
        <w:rPr>
          <w:rFonts w:eastAsia="楷体_GB2312"/>
          <w:sz w:val="30"/>
          <w:szCs w:val="30"/>
        </w:rPr>
        <w:t>年</w:t>
      </w:r>
      <w:r>
        <w:rPr>
          <w:rFonts w:hint="eastAsia" w:eastAsia="楷体_GB2312"/>
          <w:sz w:val="30"/>
          <w:szCs w:val="30"/>
        </w:rPr>
        <w:t>政府性基金预算支出情况表为空表。</w:t>
      </w:r>
    </w:p>
    <w:p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</w:rPr>
        <w:t>2.</w:t>
      </w:r>
      <w:r>
        <w:rPr>
          <w:rFonts w:hint="eastAsia" w:eastAsia="楷体_GB2312"/>
          <w:sz w:val="30"/>
          <w:szCs w:val="30"/>
          <w:lang w:val="zh-CN"/>
        </w:rPr>
        <w:t>天津市西青区城乡居民基本医疗保险服务中心</w:t>
      </w:r>
      <w:bookmarkStart w:id="0" w:name="_GoBack"/>
      <w:bookmarkEnd w:id="0"/>
      <w:r>
        <w:rPr>
          <w:rFonts w:hint="eastAsia" w:eastAsia="楷体_GB2312"/>
          <w:sz w:val="30"/>
          <w:szCs w:val="30"/>
        </w:rPr>
        <w:t>2021年一般公共预算“三公”经费支出情况表为空表。</w:t>
      </w:r>
    </w:p>
    <w:p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580" w:lineRule="exact"/>
        <w:ind w:firstLine="1800" w:firstLineChars="500"/>
        <w:rPr>
          <w:rFonts w:eastAsia="黑体"/>
          <w:sz w:val="36"/>
          <w:szCs w:val="36"/>
        </w:rPr>
      </w:pPr>
    </w:p>
    <w:p>
      <w:pPr>
        <w:spacing w:line="580" w:lineRule="exact"/>
        <w:rPr>
          <w:rFonts w:eastAsia="黑体"/>
          <w:sz w:val="36"/>
          <w:szCs w:val="36"/>
        </w:rPr>
      </w:pPr>
    </w:p>
    <w:p>
      <w:pPr>
        <w:spacing w:line="580" w:lineRule="exact"/>
        <w:rPr>
          <w:rFonts w:eastAsia="黑体"/>
          <w:sz w:val="36"/>
          <w:szCs w:val="36"/>
        </w:rPr>
      </w:pPr>
    </w:p>
    <w:p>
      <w:pPr>
        <w:spacing w:line="580" w:lineRule="exact"/>
        <w:rPr>
          <w:rFonts w:eastAsia="黑体"/>
          <w:sz w:val="36"/>
          <w:szCs w:val="36"/>
        </w:rPr>
      </w:pPr>
    </w:p>
    <w:p/>
    <w:sectPr>
      <w:headerReference r:id="rId5" w:type="default"/>
      <w:footerReference r:id="rId6" w:type="default"/>
      <w:footerReference r:id="rId7" w:type="even"/>
      <w:pgSz w:w="11907" w:h="16840"/>
      <w:pgMar w:top="2098" w:right="1474" w:bottom="1304" w:left="1588" w:header="765" w:footer="765" w:gutter="0"/>
      <w:pgNumType w:fmt="numberInDash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I5NWZmYmY0OTM1MjM0ZDU0NjdjZmJjZDc3Y2U0OTQifQ=="/>
  </w:docVars>
  <w:rsids>
    <w:rsidRoot w:val="00937D77"/>
    <w:rsid w:val="0001204D"/>
    <w:rsid w:val="00014B7E"/>
    <w:rsid w:val="00025DCF"/>
    <w:rsid w:val="00026B49"/>
    <w:rsid w:val="00035889"/>
    <w:rsid w:val="0003736F"/>
    <w:rsid w:val="00040A70"/>
    <w:rsid w:val="000546FB"/>
    <w:rsid w:val="00055156"/>
    <w:rsid w:val="000561F0"/>
    <w:rsid w:val="00066DA5"/>
    <w:rsid w:val="00081133"/>
    <w:rsid w:val="00082771"/>
    <w:rsid w:val="00093F1A"/>
    <w:rsid w:val="00097C4D"/>
    <w:rsid w:val="000A6A5A"/>
    <w:rsid w:val="000B1B04"/>
    <w:rsid w:val="000B5758"/>
    <w:rsid w:val="000C3FFB"/>
    <w:rsid w:val="000C5349"/>
    <w:rsid w:val="000C704F"/>
    <w:rsid w:val="000D1BEF"/>
    <w:rsid w:val="000E221E"/>
    <w:rsid w:val="000E5A14"/>
    <w:rsid w:val="000F2DDD"/>
    <w:rsid w:val="00103D12"/>
    <w:rsid w:val="001044EF"/>
    <w:rsid w:val="00107793"/>
    <w:rsid w:val="00141FB3"/>
    <w:rsid w:val="00143640"/>
    <w:rsid w:val="00146622"/>
    <w:rsid w:val="00151DB8"/>
    <w:rsid w:val="00151E56"/>
    <w:rsid w:val="001574DB"/>
    <w:rsid w:val="001639E6"/>
    <w:rsid w:val="0017420B"/>
    <w:rsid w:val="0019552B"/>
    <w:rsid w:val="001A1316"/>
    <w:rsid w:val="001B47FB"/>
    <w:rsid w:val="001C525C"/>
    <w:rsid w:val="001E4814"/>
    <w:rsid w:val="001F43D8"/>
    <w:rsid w:val="001F69BB"/>
    <w:rsid w:val="0020344E"/>
    <w:rsid w:val="00217977"/>
    <w:rsid w:val="00223D56"/>
    <w:rsid w:val="00225E9E"/>
    <w:rsid w:val="002319C9"/>
    <w:rsid w:val="00235DDA"/>
    <w:rsid w:val="002456BF"/>
    <w:rsid w:val="00252DD7"/>
    <w:rsid w:val="00256CA6"/>
    <w:rsid w:val="00290EAC"/>
    <w:rsid w:val="00293ACA"/>
    <w:rsid w:val="002A1782"/>
    <w:rsid w:val="002A23DC"/>
    <w:rsid w:val="002D67AE"/>
    <w:rsid w:val="002D715E"/>
    <w:rsid w:val="002E3C02"/>
    <w:rsid w:val="002F0F40"/>
    <w:rsid w:val="002F0F49"/>
    <w:rsid w:val="00304097"/>
    <w:rsid w:val="003407F4"/>
    <w:rsid w:val="00343F3E"/>
    <w:rsid w:val="0035053A"/>
    <w:rsid w:val="0035182A"/>
    <w:rsid w:val="003609DB"/>
    <w:rsid w:val="00361453"/>
    <w:rsid w:val="003734E1"/>
    <w:rsid w:val="00373C7A"/>
    <w:rsid w:val="00381526"/>
    <w:rsid w:val="00391275"/>
    <w:rsid w:val="003929CE"/>
    <w:rsid w:val="003A7D0E"/>
    <w:rsid w:val="003B3A66"/>
    <w:rsid w:val="003C2CCF"/>
    <w:rsid w:val="003D1814"/>
    <w:rsid w:val="003D48A4"/>
    <w:rsid w:val="003D647A"/>
    <w:rsid w:val="003E3EA7"/>
    <w:rsid w:val="003F4CDB"/>
    <w:rsid w:val="00404E18"/>
    <w:rsid w:val="00406A09"/>
    <w:rsid w:val="004178F1"/>
    <w:rsid w:val="00421C5C"/>
    <w:rsid w:val="00424A5A"/>
    <w:rsid w:val="00452C1F"/>
    <w:rsid w:val="004645C1"/>
    <w:rsid w:val="004654FD"/>
    <w:rsid w:val="004660E2"/>
    <w:rsid w:val="0047004A"/>
    <w:rsid w:val="00472621"/>
    <w:rsid w:val="00474C09"/>
    <w:rsid w:val="004A5DF5"/>
    <w:rsid w:val="004B0888"/>
    <w:rsid w:val="004C0EED"/>
    <w:rsid w:val="004E5901"/>
    <w:rsid w:val="004E6620"/>
    <w:rsid w:val="004F304B"/>
    <w:rsid w:val="00531F24"/>
    <w:rsid w:val="00547CCA"/>
    <w:rsid w:val="0055334A"/>
    <w:rsid w:val="0056218D"/>
    <w:rsid w:val="00563DE0"/>
    <w:rsid w:val="005717FD"/>
    <w:rsid w:val="00577762"/>
    <w:rsid w:val="00585681"/>
    <w:rsid w:val="00585D27"/>
    <w:rsid w:val="00587269"/>
    <w:rsid w:val="0058731A"/>
    <w:rsid w:val="0059248B"/>
    <w:rsid w:val="005B0F7B"/>
    <w:rsid w:val="005B3956"/>
    <w:rsid w:val="005B5E4D"/>
    <w:rsid w:val="005C0A1F"/>
    <w:rsid w:val="005D0C85"/>
    <w:rsid w:val="005D5F3F"/>
    <w:rsid w:val="005E595A"/>
    <w:rsid w:val="005E5D2D"/>
    <w:rsid w:val="005E642E"/>
    <w:rsid w:val="005F3D28"/>
    <w:rsid w:val="005F52AE"/>
    <w:rsid w:val="005F6E16"/>
    <w:rsid w:val="00602A30"/>
    <w:rsid w:val="006054BF"/>
    <w:rsid w:val="00646289"/>
    <w:rsid w:val="00646C58"/>
    <w:rsid w:val="0065320E"/>
    <w:rsid w:val="00664752"/>
    <w:rsid w:val="00673ABE"/>
    <w:rsid w:val="006777CE"/>
    <w:rsid w:val="006934E1"/>
    <w:rsid w:val="0069616E"/>
    <w:rsid w:val="006A7042"/>
    <w:rsid w:val="006A7123"/>
    <w:rsid w:val="006B0F4B"/>
    <w:rsid w:val="006D456D"/>
    <w:rsid w:val="006D7313"/>
    <w:rsid w:val="006F3D01"/>
    <w:rsid w:val="006F408B"/>
    <w:rsid w:val="00703777"/>
    <w:rsid w:val="00716804"/>
    <w:rsid w:val="00737A20"/>
    <w:rsid w:val="0074381E"/>
    <w:rsid w:val="007769B4"/>
    <w:rsid w:val="00795DC2"/>
    <w:rsid w:val="007C220B"/>
    <w:rsid w:val="007C257B"/>
    <w:rsid w:val="007C4FF4"/>
    <w:rsid w:val="007E0D5B"/>
    <w:rsid w:val="007F218B"/>
    <w:rsid w:val="00810D0C"/>
    <w:rsid w:val="00824025"/>
    <w:rsid w:val="008277F5"/>
    <w:rsid w:val="0083475B"/>
    <w:rsid w:val="00847B3C"/>
    <w:rsid w:val="00851ECC"/>
    <w:rsid w:val="00861D45"/>
    <w:rsid w:val="00866211"/>
    <w:rsid w:val="00890F33"/>
    <w:rsid w:val="008A2192"/>
    <w:rsid w:val="008B0BE1"/>
    <w:rsid w:val="008C6A37"/>
    <w:rsid w:val="008D0B65"/>
    <w:rsid w:val="008D7A7F"/>
    <w:rsid w:val="008E4B67"/>
    <w:rsid w:val="008F7F2F"/>
    <w:rsid w:val="00912DED"/>
    <w:rsid w:val="009224E2"/>
    <w:rsid w:val="00922C71"/>
    <w:rsid w:val="00931ADF"/>
    <w:rsid w:val="00933DD8"/>
    <w:rsid w:val="00934F3E"/>
    <w:rsid w:val="00937D77"/>
    <w:rsid w:val="00946BC0"/>
    <w:rsid w:val="00962587"/>
    <w:rsid w:val="00976496"/>
    <w:rsid w:val="009822BE"/>
    <w:rsid w:val="00990C9A"/>
    <w:rsid w:val="009970B7"/>
    <w:rsid w:val="009A45FD"/>
    <w:rsid w:val="009B0D59"/>
    <w:rsid w:val="009B0FCC"/>
    <w:rsid w:val="009C3FA3"/>
    <w:rsid w:val="009C4227"/>
    <w:rsid w:val="009D1FD1"/>
    <w:rsid w:val="009D2134"/>
    <w:rsid w:val="009F0927"/>
    <w:rsid w:val="00A01A53"/>
    <w:rsid w:val="00A020B8"/>
    <w:rsid w:val="00A169EE"/>
    <w:rsid w:val="00A25266"/>
    <w:rsid w:val="00A325D0"/>
    <w:rsid w:val="00A52A4D"/>
    <w:rsid w:val="00A54C43"/>
    <w:rsid w:val="00A57C43"/>
    <w:rsid w:val="00A62D36"/>
    <w:rsid w:val="00A64852"/>
    <w:rsid w:val="00A74096"/>
    <w:rsid w:val="00A76546"/>
    <w:rsid w:val="00A8081F"/>
    <w:rsid w:val="00A8708A"/>
    <w:rsid w:val="00A8790D"/>
    <w:rsid w:val="00A918A4"/>
    <w:rsid w:val="00A9534B"/>
    <w:rsid w:val="00AB093E"/>
    <w:rsid w:val="00AB791A"/>
    <w:rsid w:val="00AC0500"/>
    <w:rsid w:val="00AD51D9"/>
    <w:rsid w:val="00AD6740"/>
    <w:rsid w:val="00AE14F7"/>
    <w:rsid w:val="00AE3DA6"/>
    <w:rsid w:val="00AF0726"/>
    <w:rsid w:val="00AF0A58"/>
    <w:rsid w:val="00AF121D"/>
    <w:rsid w:val="00B03433"/>
    <w:rsid w:val="00B100CB"/>
    <w:rsid w:val="00B1463F"/>
    <w:rsid w:val="00B25010"/>
    <w:rsid w:val="00B370F4"/>
    <w:rsid w:val="00B4348E"/>
    <w:rsid w:val="00B47C04"/>
    <w:rsid w:val="00B66FA2"/>
    <w:rsid w:val="00B757C2"/>
    <w:rsid w:val="00B90553"/>
    <w:rsid w:val="00B91BBF"/>
    <w:rsid w:val="00B93818"/>
    <w:rsid w:val="00BA2588"/>
    <w:rsid w:val="00BA407A"/>
    <w:rsid w:val="00BB423E"/>
    <w:rsid w:val="00BC3841"/>
    <w:rsid w:val="00BC76FF"/>
    <w:rsid w:val="00BF7933"/>
    <w:rsid w:val="00C12119"/>
    <w:rsid w:val="00C1455B"/>
    <w:rsid w:val="00C149C4"/>
    <w:rsid w:val="00C17C17"/>
    <w:rsid w:val="00C24562"/>
    <w:rsid w:val="00C378B1"/>
    <w:rsid w:val="00C427C9"/>
    <w:rsid w:val="00C435D4"/>
    <w:rsid w:val="00C50520"/>
    <w:rsid w:val="00C63085"/>
    <w:rsid w:val="00C64EC0"/>
    <w:rsid w:val="00C70269"/>
    <w:rsid w:val="00C8411D"/>
    <w:rsid w:val="00C84F06"/>
    <w:rsid w:val="00C96C5A"/>
    <w:rsid w:val="00CA1B19"/>
    <w:rsid w:val="00CB0036"/>
    <w:rsid w:val="00CE6EAE"/>
    <w:rsid w:val="00CE7964"/>
    <w:rsid w:val="00CE7AC9"/>
    <w:rsid w:val="00CE7B3E"/>
    <w:rsid w:val="00CF3C5E"/>
    <w:rsid w:val="00D055B0"/>
    <w:rsid w:val="00D07F2D"/>
    <w:rsid w:val="00D13688"/>
    <w:rsid w:val="00D15FA8"/>
    <w:rsid w:val="00D23D4D"/>
    <w:rsid w:val="00D27938"/>
    <w:rsid w:val="00D51CC5"/>
    <w:rsid w:val="00D55851"/>
    <w:rsid w:val="00D8056F"/>
    <w:rsid w:val="00D877BB"/>
    <w:rsid w:val="00D92B61"/>
    <w:rsid w:val="00DB28E7"/>
    <w:rsid w:val="00DB3194"/>
    <w:rsid w:val="00DD6747"/>
    <w:rsid w:val="00DD6E45"/>
    <w:rsid w:val="00DE5D74"/>
    <w:rsid w:val="00DF0B81"/>
    <w:rsid w:val="00DF4EF1"/>
    <w:rsid w:val="00DF6570"/>
    <w:rsid w:val="00E01833"/>
    <w:rsid w:val="00E12CEE"/>
    <w:rsid w:val="00E27103"/>
    <w:rsid w:val="00E37F65"/>
    <w:rsid w:val="00E51564"/>
    <w:rsid w:val="00E62551"/>
    <w:rsid w:val="00E65BBC"/>
    <w:rsid w:val="00E74166"/>
    <w:rsid w:val="00E75826"/>
    <w:rsid w:val="00E804B9"/>
    <w:rsid w:val="00E8177A"/>
    <w:rsid w:val="00E839D5"/>
    <w:rsid w:val="00E90B38"/>
    <w:rsid w:val="00E90C89"/>
    <w:rsid w:val="00E95C79"/>
    <w:rsid w:val="00EA6A5C"/>
    <w:rsid w:val="00EB06BE"/>
    <w:rsid w:val="00EB6AAF"/>
    <w:rsid w:val="00F11449"/>
    <w:rsid w:val="00F211C0"/>
    <w:rsid w:val="00F224AE"/>
    <w:rsid w:val="00F2632D"/>
    <w:rsid w:val="00F5220F"/>
    <w:rsid w:val="00F54E60"/>
    <w:rsid w:val="00F5688C"/>
    <w:rsid w:val="00F81314"/>
    <w:rsid w:val="00F86B2D"/>
    <w:rsid w:val="00F86C27"/>
    <w:rsid w:val="00F86DF0"/>
    <w:rsid w:val="00F943D8"/>
    <w:rsid w:val="00FB4035"/>
    <w:rsid w:val="00FC57FA"/>
    <w:rsid w:val="00FE3D89"/>
    <w:rsid w:val="00FE7BA7"/>
    <w:rsid w:val="16D33DBF"/>
    <w:rsid w:val="1D681DEC"/>
    <w:rsid w:val="268758BC"/>
    <w:rsid w:val="3557428F"/>
    <w:rsid w:val="3D407E3C"/>
    <w:rsid w:val="3FCB28EB"/>
    <w:rsid w:val="40956B0D"/>
    <w:rsid w:val="4102509C"/>
    <w:rsid w:val="4B0123E4"/>
    <w:rsid w:val="4E1E02D7"/>
    <w:rsid w:val="4F204931"/>
    <w:rsid w:val="674D02A3"/>
    <w:rsid w:val="687B1BFC"/>
    <w:rsid w:val="693A5856"/>
    <w:rsid w:val="6A2D5246"/>
    <w:rsid w:val="6D9552CA"/>
    <w:rsid w:val="73A82400"/>
    <w:rsid w:val="748F20DD"/>
    <w:rsid w:val="7EC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S Serif" w:hAnsi="MS Serif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MS Serif" w:hAnsi="MS Serif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9"/>
    <w:pPr>
      <w:spacing w:beforeLines="0" w:afterLines="0"/>
      <w:outlineLvl w:val="1"/>
    </w:pPr>
    <w:rPr>
      <w:rFonts w:hint="eastAsia"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uiPriority w:val="0"/>
    <w:pPr>
      <w:shd w:val="clear" w:color="auto" w:fill="000080"/>
    </w:pPr>
  </w:style>
  <w:style w:type="paragraph" w:styleId="4">
    <w:name w:val="Plain Text"/>
    <w:basedOn w:val="1"/>
    <w:link w:val="14"/>
    <w:qFormat/>
    <w:uiPriority w:val="0"/>
    <w:pPr>
      <w:adjustRightInd/>
      <w:spacing w:line="240" w:lineRule="auto"/>
      <w:jc w:val="both"/>
      <w:textAlignment w:val="auto"/>
    </w:pPr>
    <w:rPr>
      <w:rFonts w:ascii="宋体" w:hAnsi="Courier New"/>
      <w:kern w:val="2"/>
      <w:sz w:val="21"/>
    </w:rPr>
  </w:style>
  <w:style w:type="paragraph" w:styleId="5">
    <w:name w:val="Balloon Text"/>
    <w:basedOn w:val="1"/>
    <w:link w:val="11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批注框文本 Char"/>
    <w:link w:val="5"/>
    <w:qFormat/>
    <w:uiPriority w:val="0"/>
    <w:rPr>
      <w:sz w:val="18"/>
      <w:szCs w:val="18"/>
    </w:rPr>
  </w:style>
  <w:style w:type="paragraph" w:customStyle="1" w:styleId="12">
    <w:name w:val="Char Char"/>
    <w:basedOn w:val="3"/>
    <w:qFormat/>
    <w:uiPriority w:val="0"/>
    <w:pPr>
      <w:adjustRightInd/>
      <w:spacing w:line="240" w:lineRule="auto"/>
      <w:jc w:val="both"/>
      <w:textAlignment w:val="auto"/>
    </w:pPr>
  </w:style>
  <w:style w:type="paragraph" w:styleId="13">
    <w:name w:val="List Paragraph"/>
    <w:basedOn w:val="1"/>
    <w:qFormat/>
    <w:uiPriority w:val="34"/>
    <w:pPr>
      <w:adjustRightInd/>
      <w:spacing w:line="240" w:lineRule="auto"/>
      <w:ind w:firstLine="420" w:firstLineChars="200"/>
      <w:jc w:val="both"/>
      <w:textAlignment w:val="auto"/>
    </w:pPr>
    <w:rPr>
      <w:rFonts w:ascii="Calibri" w:hAnsi="Calibri"/>
      <w:kern w:val="2"/>
      <w:sz w:val="21"/>
      <w:szCs w:val="22"/>
    </w:rPr>
  </w:style>
  <w:style w:type="character" w:customStyle="1" w:styleId="14">
    <w:name w:val="纯文本 Char"/>
    <w:basedOn w:val="9"/>
    <w:link w:val="4"/>
    <w:qFormat/>
    <w:uiPriority w:val="0"/>
    <w:rPr>
      <w:rFonts w:ascii="宋体"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1241</Words>
  <Characters>1368</Characters>
  <Lines>2</Lines>
  <Paragraphs>3</Paragraphs>
  <TotalTime>0</TotalTime>
  <ScaleCrop>false</ScaleCrop>
  <LinksUpToDate>false</LinksUpToDate>
  <CharactersWithSpaces>1462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2021-02-01T06:59:00Z</dcterms:created>
  <dc:creator>朱春礼</dc:creator>
  <cp:lastModifiedBy>dell</cp:lastModifiedBy>
  <cp:lastPrinted>2020-01-16T07:47:00Z</cp:lastPrinted>
  <dcterms:modified xsi:type="dcterms:W3CDTF">2022-09-01T09:08:14Z</dcterms:modified>
  <dc:title>附件1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2905B36BF3554313AD562A3A2432B3FB</vt:lpwstr>
  </property>
</Properties>
</file>