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附件1</w:t>
      </w:r>
    </w:p>
    <w:p>
      <w:pPr>
        <w:spacing w:line="600" w:lineRule="exact"/>
        <w:jc w:val="both"/>
        <w:rPr>
          <w:rFonts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hint="eastAsia" w:eastAsia="黑体"/>
          <w:w w:val="95"/>
          <w:sz w:val="44"/>
          <w:szCs w:val="44"/>
        </w:rPr>
        <w:t>天津市西青区医疗保障局（本级）2021</w:t>
      </w:r>
      <w:r>
        <w:rPr>
          <w:rFonts w:eastAsia="黑体"/>
          <w:w w:val="95"/>
          <w:sz w:val="44"/>
          <w:szCs w:val="44"/>
        </w:rPr>
        <w:t>年部门预算编制说明</w:t>
      </w:r>
    </w:p>
    <w:p>
      <w:pPr>
        <w:spacing w:line="600" w:lineRule="exact"/>
        <w:ind w:firstLine="640" w:firstLineChars="200"/>
        <w:rPr>
          <w:rFonts w:eastAsia="仿宋_GB2312"/>
          <w:color w:val="FF0000"/>
          <w:sz w:val="32"/>
          <w:szCs w:val="32"/>
        </w:rPr>
      </w:pPr>
    </w:p>
    <w:p>
      <w:pPr>
        <w:pStyle w:val="2"/>
        <w:keepNext/>
        <w:keepLines/>
        <w:spacing w:beforeLines="0" w:afterLines="0" w:line="600" w:lineRule="exact"/>
        <w:ind w:firstLine="601"/>
        <w:rPr>
          <w:rFonts w:hint="default" w:hAnsi="Times New Roman" w:cs="黑体"/>
          <w:b/>
          <w:sz w:val="30"/>
          <w:szCs w:val="30"/>
          <w:lang w:val="zh-CN"/>
        </w:rPr>
      </w:pPr>
      <w:r>
        <w:rPr>
          <w:rFonts w:hint="eastAsia" w:hAnsi="Times New Roman" w:cs="黑体"/>
          <w:b/>
          <w:sz w:val="30"/>
          <w:szCs w:val="30"/>
          <w:lang w:val="zh-CN"/>
        </w:rPr>
        <w:t>一、主要职责</w:t>
      </w:r>
    </w:p>
    <w:p>
      <w:pPr>
        <w:spacing w:beforeLines="0" w:afterLines="0" w:line="580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天津市西青区医疗保障局贯彻落实党中央、市委、区委关于医疗保障工作的方针政策和决策部署，在履行职责过程中坚持和加强党对医疗保障工作的集中统一领导。主要职责是：</w:t>
      </w:r>
    </w:p>
    <w:p>
      <w:pPr>
        <w:spacing w:beforeLines="0" w:afterLines="0" w:line="580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（一）贯彻执行国家和本市医疗保险、生育保险、医疗救助等医疗保障相关的法律法规、政策和规划，并做好宣传培训工作。</w:t>
      </w:r>
    </w:p>
    <w:p>
      <w:pPr>
        <w:spacing w:beforeLines="0" w:afterLines="0" w:line="580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（二）负责区内定点医疗机构的评估确定、年度审核、调整申报等工作。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（三）负责区内定点医疗机构医保基金的指标测算、预算分配、调剂和年度清算考核工作。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（四）负责区内医疗保障领域参保扩面工作。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（五）执行市医疗保障局药品、医用耗材的采购结果，做好区属定点医疗机构招标采购监管工作，推动区属定点医疗机构开展医保支付方式改革。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（六）监督区内的医药机构和纳入医保范围内的服务行为和医疗费用，依法查处医疗保障领域违法违规行为，贯彻执行医保政策。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（七）负责区内参保人员医保视同缴费年限核定工作。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（八）负责区内医疗救助工作。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（九）负责区内医药价格监测和管理工作。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（十）负责受理区内医疗保障信访、举报、投诉等工作。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（十一）负责本区城乡居民区级医疗保障相关补助政策的制定、调整、实施、运行和管理等工作。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（十二）负责本系统安全生产管理工作。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（十三）在统计活动中，严格遵守《中华人民共和国统计法》、《中华人民共和国统计法实施条例》和各项统计调查制度，坚决防范和惩治统计造假、弄虚作假。</w:t>
      </w:r>
    </w:p>
    <w:p>
      <w:pPr>
        <w:spacing w:beforeLines="0" w:afterLines="0" w:line="588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（十四）完成区委、区政府交办的其他事项。</w:t>
      </w:r>
    </w:p>
    <w:p>
      <w:pPr>
        <w:spacing w:beforeLines="0" w:afterLines="0" w:line="580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十五）职能转变。区医疗保障局应当建立健全覆盖城乡统筹的多层次医疗保障体系，不断提高医疗保障水平，确保医保资金合理使用、安全可控，推进医疗、医保、医药“三医联动”改革，更好保障人民群众就医需求、减轻医药费用负担。</w:t>
      </w:r>
    </w:p>
    <w:p>
      <w:pPr>
        <w:pStyle w:val="2"/>
        <w:keepNext/>
        <w:keepLines/>
        <w:spacing w:beforeLines="0" w:afterLines="0" w:line="600" w:lineRule="exact"/>
        <w:ind w:firstLine="602"/>
        <w:rPr>
          <w:rFonts w:hint="default" w:hAnsi="Times New Roman" w:cs="黑体"/>
          <w:b/>
          <w:sz w:val="30"/>
          <w:szCs w:val="30"/>
          <w:lang w:val="zh-CN"/>
        </w:rPr>
      </w:pPr>
      <w:r>
        <w:rPr>
          <w:rFonts w:hint="eastAsia" w:hAnsi="Times New Roman" w:cs="黑体"/>
          <w:b/>
          <w:sz w:val="30"/>
          <w:szCs w:val="30"/>
          <w:lang w:val="zh-CN"/>
        </w:rPr>
        <w:t>二、机构设置</w:t>
      </w:r>
    </w:p>
    <w:p>
      <w:pPr>
        <w:spacing w:beforeLines="0" w:afterLines="0" w:line="580" w:lineRule="exact"/>
        <w:ind w:firstLine="600"/>
        <w:rPr>
          <w:rFonts w:hint="default" w:ascii="仿宋_GB2312" w:hAnsi="Times New Roman" w:eastAsia="仿宋_GB2312" w:cs="仿宋_GB2312"/>
          <w:kern w:val="2"/>
          <w:sz w:val="30"/>
          <w:szCs w:val="30"/>
          <w:lang w:val="zh-CN"/>
        </w:rPr>
      </w:pPr>
      <w:r>
        <w:rPr>
          <w:rFonts w:hint="eastAsia" w:ascii="仿宋" w:hAnsi="Times New Roman" w:eastAsia="仿宋" w:cs="仿宋"/>
          <w:kern w:val="2"/>
          <w:sz w:val="30"/>
          <w:szCs w:val="30"/>
          <w:lang w:val="zh-CN"/>
        </w:rPr>
        <w:t>天津市西青区医疗保障局（本级）</w:t>
      </w:r>
      <w:r>
        <w:rPr>
          <w:rFonts w:hint="eastAsia" w:ascii="仿宋_GB2312" w:hAnsi="Times New Roman" w:eastAsia="仿宋_GB2312" w:cs="仿宋_GB2312"/>
          <w:kern w:val="2"/>
          <w:sz w:val="30"/>
          <w:szCs w:val="30"/>
          <w:lang w:val="zh-CN"/>
        </w:rPr>
        <w:t>内设1个职能科室，</w:t>
      </w:r>
      <w:r>
        <w:rPr>
          <w:rFonts w:hint="eastAsia" w:ascii="仿宋_GB2312" w:hAnsi="Times New Roman" w:eastAsia="仿宋_GB2312" w:cs="仿宋_GB2312"/>
          <w:sz w:val="30"/>
          <w:szCs w:val="30"/>
        </w:rPr>
        <w:t>纳入</w:t>
      </w:r>
      <w:r>
        <w:rPr>
          <w:rFonts w:hint="eastAsia" w:ascii="仿宋" w:hAnsi="Times New Roman" w:eastAsia="仿宋" w:cs="仿宋"/>
          <w:kern w:val="2"/>
          <w:sz w:val="30"/>
          <w:szCs w:val="30"/>
          <w:lang w:val="zh-CN"/>
        </w:rPr>
        <w:t>天津市西青区医疗保障局（本级）</w:t>
      </w:r>
      <w:r>
        <w:rPr>
          <w:rFonts w:hint="default" w:ascii="Times New Roman" w:hAnsi="Times New Roman" w:eastAsia="仿宋"/>
          <w:sz w:val="30"/>
          <w:szCs w:val="30"/>
        </w:rPr>
        <w:t>2021</w:t>
      </w:r>
      <w:r>
        <w:rPr>
          <w:rFonts w:hint="eastAsia" w:ascii="仿宋_GB2312" w:hAnsi="Times New Roman" w:eastAsia="仿宋_GB2312" w:cs="仿宋_GB2312"/>
          <w:sz w:val="30"/>
          <w:szCs w:val="30"/>
        </w:rPr>
        <w:t>年部门决算编制范围的单位包括：</w:t>
      </w:r>
    </w:p>
    <w:p>
      <w:pPr>
        <w:spacing w:beforeLines="0" w:afterLines="0" w:line="600" w:lineRule="exact"/>
        <w:ind w:firstLine="600"/>
        <w:rPr>
          <w:rFonts w:hint="default" w:ascii="Times New Roman" w:hAnsi="Times New Roman" w:eastAsia="仿宋_GB2312"/>
          <w:sz w:val="30"/>
          <w:szCs w:val="30"/>
        </w:rPr>
      </w:pPr>
      <w:r>
        <w:rPr>
          <w:rFonts w:hint="eastAsia" w:ascii="宋体" w:hAnsi="Times New Roman" w:eastAsia="宋体" w:cs="宋体"/>
          <w:sz w:val="24"/>
          <w:szCs w:val="24"/>
        </w:rPr>
        <w:t>1.</w:t>
      </w:r>
      <w:r>
        <w:rPr>
          <w:rFonts w:hint="eastAsia" w:ascii="仿宋" w:hAnsi="Times New Roman" w:eastAsia="仿宋" w:cs="仿宋"/>
          <w:kern w:val="2"/>
          <w:sz w:val="30"/>
          <w:szCs w:val="30"/>
          <w:lang w:val="zh-CN"/>
        </w:rPr>
        <w:t xml:space="preserve"> 天津市西青区医疗保障局</w:t>
      </w:r>
      <w:r>
        <w:rPr>
          <w:rFonts w:hint="eastAsia" w:ascii="仿宋_GB2312" w:hAnsi="Times New Roman" w:eastAsia="仿宋_GB2312" w:cs="仿宋_GB2312"/>
          <w:sz w:val="30"/>
          <w:szCs w:val="30"/>
        </w:rPr>
        <w:t>本级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天津市西青区医疗保障局（本级）</w:t>
      </w:r>
      <w:r>
        <w:rPr>
          <w:rFonts w:eastAsia="仿宋_GB2312"/>
          <w:sz w:val="30"/>
          <w:szCs w:val="30"/>
        </w:rPr>
        <w:t>收入预算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</w:t>
      </w:r>
      <w:r>
        <w:rPr>
          <w:rFonts w:hint="eastAsia" w:eastAsia="仿宋_GB2312"/>
          <w:sz w:val="30"/>
          <w:szCs w:val="30"/>
          <w:lang w:val="en-US" w:eastAsia="zh-CN"/>
        </w:rPr>
        <w:t>增加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万元。其中，本年收入合计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</w:t>
      </w:r>
      <w:r>
        <w:rPr>
          <w:rFonts w:hint="eastAsia" w:eastAsia="仿宋_GB2312"/>
          <w:sz w:val="30"/>
          <w:szCs w:val="30"/>
          <w:lang w:val="en-US" w:eastAsia="zh-CN"/>
        </w:rPr>
        <w:t>增加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万元，包括</w:t>
      </w:r>
      <w:r>
        <w:rPr>
          <w:rFonts w:hint="eastAsia" w:eastAsia="仿宋_GB2312"/>
          <w:sz w:val="30"/>
          <w:szCs w:val="30"/>
        </w:rPr>
        <w:t>财政拨款预算收入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非同级财政拨款预算收入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经营预算收入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投资预算收益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其他预算收入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万元；上年结转和结余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天津市西青区医疗保障局（本级）</w:t>
      </w:r>
      <w:r>
        <w:rPr>
          <w:rFonts w:eastAsia="仿宋_GB2312"/>
          <w:sz w:val="30"/>
          <w:szCs w:val="30"/>
        </w:rPr>
        <w:t>支出预算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</w:t>
      </w:r>
      <w:r>
        <w:rPr>
          <w:rFonts w:hint="eastAsia" w:eastAsia="仿宋_GB2312"/>
          <w:sz w:val="30"/>
          <w:szCs w:val="30"/>
          <w:lang w:val="en-US" w:eastAsia="zh-CN"/>
        </w:rPr>
        <w:t>增加</w:t>
      </w:r>
      <w:r>
        <w:rPr>
          <w:rFonts w:hint="eastAsia" w:eastAsia="仿宋_GB2312"/>
          <w:sz w:val="30"/>
          <w:szCs w:val="30"/>
          <w:u w:val="single"/>
        </w:rPr>
        <w:t>9209.96</w:t>
      </w:r>
      <w:r>
        <w:rPr>
          <w:rFonts w:eastAsia="仿宋_GB2312"/>
          <w:sz w:val="30"/>
          <w:szCs w:val="30"/>
        </w:rPr>
        <w:t>万元，其中：</w:t>
      </w:r>
      <w:r>
        <w:rPr>
          <w:rFonts w:hint="eastAsia" w:eastAsia="仿宋_GB2312"/>
          <w:sz w:val="30"/>
          <w:szCs w:val="30"/>
        </w:rPr>
        <w:t>卫生健康支出（210类）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</w:rPr>
        <w:t>9199.63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其中：行政事业单位医疗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6.13</w:t>
      </w:r>
      <w:r>
        <w:rPr>
          <w:rFonts w:hint="eastAsia" w:eastAsia="仿宋_GB2312"/>
          <w:sz w:val="30"/>
          <w:szCs w:val="30"/>
          <w:lang w:val="en-US" w:eastAsia="zh-CN"/>
        </w:rPr>
        <w:t>万元；</w:t>
      </w:r>
      <w:r>
        <w:rPr>
          <w:rFonts w:hint="eastAsia" w:eastAsia="仿宋_GB2312"/>
          <w:sz w:val="30"/>
          <w:szCs w:val="30"/>
        </w:rPr>
        <w:t>医疗救助（13款）</w:t>
      </w:r>
      <w:r>
        <w:rPr>
          <w:rFonts w:hint="eastAsia" w:eastAsia="仿宋_GB2312"/>
          <w:sz w:val="30"/>
          <w:szCs w:val="30"/>
          <w:u w:val="single"/>
        </w:rPr>
        <w:t>8870</w:t>
      </w:r>
      <w:r>
        <w:rPr>
          <w:rFonts w:hint="eastAsia" w:eastAsia="仿宋_GB2312"/>
          <w:sz w:val="30"/>
          <w:szCs w:val="30"/>
        </w:rPr>
        <w:t>万元；医疗保障管理事务（15款）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323.50</w:t>
      </w:r>
      <w:r>
        <w:rPr>
          <w:rFonts w:hint="eastAsia" w:eastAsia="仿宋_GB2312"/>
          <w:sz w:val="30"/>
          <w:szCs w:val="30"/>
        </w:rPr>
        <w:t xml:space="preserve">万元，  </w:t>
      </w:r>
      <w:r>
        <w:rPr>
          <w:rFonts w:eastAsia="仿宋_GB2312"/>
          <w:sz w:val="30"/>
          <w:szCs w:val="30"/>
        </w:rPr>
        <w:t>主要用于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西青区城乡居民医保补助和医疗保障事务管理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天津市西青区医疗保障局（本级）</w:t>
      </w:r>
      <w:r>
        <w:rPr>
          <w:rFonts w:hint="eastAsia" w:eastAsia="仿宋_GB2312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年安排机关运行经费预算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21.41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包括办公费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2.4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、水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0.34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、电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43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、邮电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、物业管理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4.32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、差旅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0.19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、维修（护）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、培训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、公务接待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、工会经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1.64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、福利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0.6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、其他交通</w:t>
      </w:r>
      <w:r>
        <w:rPr>
          <w:rFonts w:eastAsia="仿宋_GB2312"/>
          <w:sz w:val="30"/>
          <w:szCs w:val="30"/>
        </w:rPr>
        <w:t>费</w:t>
      </w:r>
      <w:r>
        <w:rPr>
          <w:rFonts w:hint="eastAsia" w:eastAsia="仿宋_GB2312"/>
          <w:sz w:val="30"/>
          <w:szCs w:val="30"/>
        </w:rPr>
        <w:t>用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4.06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、其他商品和服务支出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6.58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天津市西青区医疗保障局（本级）</w:t>
      </w:r>
      <w:r>
        <w:rPr>
          <w:rFonts w:hint="eastAsia" w:eastAsia="仿宋_GB2312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65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65 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：西青区定点医药机构监督检查委托业务项目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35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hint="eastAsia" w:ascii="Times New Roman" w:hAnsi="Times New Roman" w:eastAsia="仿宋_GB2312"/>
          <w:sz w:val="30"/>
          <w:szCs w:val="30"/>
        </w:rPr>
        <w:t>医保报销（事业单位二次报销）外包服务</w:t>
      </w:r>
      <w:r>
        <w:rPr>
          <w:rFonts w:hint="eastAsia" w:eastAsia="仿宋_GB2312"/>
          <w:color w:val="000000"/>
          <w:sz w:val="30"/>
          <w:szCs w:val="30"/>
        </w:rPr>
        <w:t>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30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</w:t>
      </w:r>
    </w:p>
    <w:p>
      <w:pPr>
        <w:spacing w:line="580" w:lineRule="exact"/>
        <w:ind w:firstLine="600" w:firstLineChars="200"/>
        <w:jc w:val="both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截至</w:t>
      </w:r>
      <w:r>
        <w:rPr>
          <w:rFonts w:hint="eastAsia" w:eastAsia="仿宋_GB2312"/>
          <w:color w:val="000000"/>
          <w:sz w:val="30"/>
          <w:szCs w:val="30"/>
        </w:rPr>
        <w:t>2020</w:t>
      </w:r>
      <w:r>
        <w:rPr>
          <w:rFonts w:eastAsia="仿宋_GB2312"/>
          <w:color w:val="000000"/>
          <w:sz w:val="30"/>
          <w:szCs w:val="30"/>
        </w:rPr>
        <w:t>年</w:t>
      </w:r>
      <w:r>
        <w:rPr>
          <w:rFonts w:hint="eastAsia" w:eastAsia="仿宋_GB2312"/>
          <w:color w:val="000000"/>
          <w:sz w:val="30"/>
          <w:szCs w:val="30"/>
        </w:rPr>
        <w:t>末</w:t>
      </w:r>
      <w:r>
        <w:rPr>
          <w:rFonts w:eastAsia="仿宋_GB2312"/>
          <w:color w:val="000000"/>
          <w:sz w:val="30"/>
          <w:szCs w:val="30"/>
        </w:rPr>
        <w:t>，</w:t>
      </w: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天津市西青区医疗保障局（本级）</w:t>
      </w:r>
      <w:r>
        <w:rPr>
          <w:rFonts w:eastAsia="仿宋_GB2312"/>
          <w:color w:val="000000"/>
          <w:sz w:val="30"/>
          <w:szCs w:val="30"/>
        </w:rPr>
        <w:t>各单位共有车辆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辆，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辆、主要领导干部用车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辆、机要通信用车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辆、应急保障用车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辆、执法执勤用车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辆、特种专业技术用车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辆、离退休干部用车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其他用车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辆，</w:t>
      </w:r>
      <w:r>
        <w:rPr>
          <w:rFonts w:ascii="仿宋_GB2312" w:eastAsia="仿宋_GB2312"/>
          <w:sz w:val="30"/>
          <w:szCs w:val="30"/>
        </w:rPr>
        <w:t>其他用车主要包括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。单价50万元以上的通用设备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台（套），单价100万元以上的专用设备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绩效目标设置情况</w:t>
      </w:r>
    </w:p>
    <w:p>
      <w:pPr>
        <w:spacing w:line="580" w:lineRule="exact"/>
        <w:ind w:firstLine="600" w:firstLineChars="200"/>
        <w:jc w:val="both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2021</w:t>
      </w:r>
      <w:r>
        <w:rPr>
          <w:rFonts w:eastAsia="仿宋_GB2312"/>
          <w:color w:val="000000"/>
          <w:sz w:val="30"/>
          <w:szCs w:val="30"/>
        </w:rPr>
        <w:t>年，</w:t>
      </w: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天津市西青区医疗保障局（本级）</w:t>
      </w:r>
      <w:r>
        <w:rPr>
          <w:rFonts w:eastAsia="仿宋_GB2312"/>
          <w:color w:val="000000"/>
          <w:sz w:val="30"/>
          <w:szCs w:val="30"/>
        </w:rPr>
        <w:t>实行绩效目标管理的项目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7 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9068.04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8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.机关运行经费。反映为保障行政单位（含参照公务员管理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1.</w:t>
      </w:r>
      <w:r>
        <w:rPr>
          <w:rFonts w:hint="eastAsia" w:eastAsia="楷体_GB2312"/>
          <w:sz w:val="30"/>
          <w:szCs w:val="30"/>
          <w:lang w:val="zh-CN"/>
        </w:rPr>
        <w:t>天津市西青区医疗保障局（本级）</w:t>
      </w:r>
      <w:r>
        <w:rPr>
          <w:rFonts w:hint="eastAsia" w:eastAsia="楷体_GB2312"/>
          <w:sz w:val="30"/>
          <w:szCs w:val="30"/>
        </w:rPr>
        <w:t>2021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政府性基金预算支出情况表为空表。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2.</w:t>
      </w:r>
      <w:r>
        <w:rPr>
          <w:rFonts w:hint="eastAsia" w:eastAsia="楷体_GB2312"/>
          <w:sz w:val="30"/>
          <w:szCs w:val="30"/>
          <w:lang w:val="zh-CN"/>
        </w:rPr>
        <w:t>天津市西青区医疗保障局（本级）</w:t>
      </w:r>
      <w:bookmarkStart w:id="0" w:name="_GoBack"/>
      <w:bookmarkEnd w:id="0"/>
      <w:r>
        <w:rPr>
          <w:rFonts w:hint="eastAsia" w:eastAsia="楷体_GB2312"/>
          <w:sz w:val="30"/>
          <w:szCs w:val="30"/>
        </w:rPr>
        <w:t>2021年一般公共预算“三公”经费支出情况表为空表。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580" w:lineRule="exact"/>
        <w:ind w:firstLine="1800" w:firstLineChars="500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/>
    <w:sectPr>
      <w:headerReference r:id="rId5" w:type="default"/>
      <w:footerReference r:id="rId6" w:type="default"/>
      <w:footerReference r:id="rId7" w:type="even"/>
      <w:pgSz w:w="11907" w:h="16840"/>
      <w:pgMar w:top="2098" w:right="1474" w:bottom="1304" w:left="1588" w:header="765" w:footer="765" w:gutter="0"/>
      <w:pgNumType w:fmt="numberInDash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I5NWZmYmY0OTM1MjM0ZDU0NjdjZmJjZDc3Y2U0OTQifQ=="/>
  </w:docVars>
  <w:rsids>
    <w:rsidRoot w:val="00937D77"/>
    <w:rsid w:val="0001204D"/>
    <w:rsid w:val="00014B7E"/>
    <w:rsid w:val="00025DCF"/>
    <w:rsid w:val="00026B49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6A5A"/>
    <w:rsid w:val="000B1B04"/>
    <w:rsid w:val="000B5758"/>
    <w:rsid w:val="000C3FFB"/>
    <w:rsid w:val="000C5349"/>
    <w:rsid w:val="000C704F"/>
    <w:rsid w:val="000D1BEF"/>
    <w:rsid w:val="000E221E"/>
    <w:rsid w:val="000E5A14"/>
    <w:rsid w:val="000F2DDD"/>
    <w:rsid w:val="00103D12"/>
    <w:rsid w:val="001044EF"/>
    <w:rsid w:val="00107793"/>
    <w:rsid w:val="00141FB3"/>
    <w:rsid w:val="00143640"/>
    <w:rsid w:val="00146622"/>
    <w:rsid w:val="00151DB8"/>
    <w:rsid w:val="00151E56"/>
    <w:rsid w:val="001574DB"/>
    <w:rsid w:val="001639E6"/>
    <w:rsid w:val="0017420B"/>
    <w:rsid w:val="0019552B"/>
    <w:rsid w:val="001A1316"/>
    <w:rsid w:val="001B47FB"/>
    <w:rsid w:val="001C525C"/>
    <w:rsid w:val="001E4814"/>
    <w:rsid w:val="001F43D8"/>
    <w:rsid w:val="001F69BB"/>
    <w:rsid w:val="0020344E"/>
    <w:rsid w:val="00217977"/>
    <w:rsid w:val="00223D56"/>
    <w:rsid w:val="00225E9E"/>
    <w:rsid w:val="002319C9"/>
    <w:rsid w:val="00235DDA"/>
    <w:rsid w:val="002456BF"/>
    <w:rsid w:val="00252DD7"/>
    <w:rsid w:val="00256CA6"/>
    <w:rsid w:val="00290EAC"/>
    <w:rsid w:val="00293ACA"/>
    <w:rsid w:val="002A1782"/>
    <w:rsid w:val="002A23DC"/>
    <w:rsid w:val="002D67AE"/>
    <w:rsid w:val="002D715E"/>
    <w:rsid w:val="002E3C02"/>
    <w:rsid w:val="002F0F40"/>
    <w:rsid w:val="002F0F49"/>
    <w:rsid w:val="00304097"/>
    <w:rsid w:val="003407F4"/>
    <w:rsid w:val="00343F3E"/>
    <w:rsid w:val="0035053A"/>
    <w:rsid w:val="0035182A"/>
    <w:rsid w:val="003609DB"/>
    <w:rsid w:val="00361453"/>
    <w:rsid w:val="003734E1"/>
    <w:rsid w:val="00373C7A"/>
    <w:rsid w:val="00381526"/>
    <w:rsid w:val="00391275"/>
    <w:rsid w:val="003929CE"/>
    <w:rsid w:val="003A7D0E"/>
    <w:rsid w:val="003B3A66"/>
    <w:rsid w:val="003C2CCF"/>
    <w:rsid w:val="003D1814"/>
    <w:rsid w:val="003D48A4"/>
    <w:rsid w:val="003D647A"/>
    <w:rsid w:val="003E3EA7"/>
    <w:rsid w:val="003F4CDB"/>
    <w:rsid w:val="00404E18"/>
    <w:rsid w:val="00406A09"/>
    <w:rsid w:val="004178F1"/>
    <w:rsid w:val="00421C5C"/>
    <w:rsid w:val="00424A5A"/>
    <w:rsid w:val="00452C1F"/>
    <w:rsid w:val="004645C1"/>
    <w:rsid w:val="004654FD"/>
    <w:rsid w:val="004660E2"/>
    <w:rsid w:val="0047004A"/>
    <w:rsid w:val="00472621"/>
    <w:rsid w:val="00474C09"/>
    <w:rsid w:val="004A5DF5"/>
    <w:rsid w:val="004B0888"/>
    <w:rsid w:val="004C0EED"/>
    <w:rsid w:val="004E5901"/>
    <w:rsid w:val="004E6620"/>
    <w:rsid w:val="004F304B"/>
    <w:rsid w:val="00531F24"/>
    <w:rsid w:val="00547CCA"/>
    <w:rsid w:val="0055334A"/>
    <w:rsid w:val="0056218D"/>
    <w:rsid w:val="00563DE0"/>
    <w:rsid w:val="005717FD"/>
    <w:rsid w:val="00577762"/>
    <w:rsid w:val="00585681"/>
    <w:rsid w:val="00585D27"/>
    <w:rsid w:val="00587269"/>
    <w:rsid w:val="0058731A"/>
    <w:rsid w:val="0059248B"/>
    <w:rsid w:val="005B0F7B"/>
    <w:rsid w:val="005B3956"/>
    <w:rsid w:val="005B5E4D"/>
    <w:rsid w:val="005C0A1F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46289"/>
    <w:rsid w:val="00646C58"/>
    <w:rsid w:val="0065320E"/>
    <w:rsid w:val="00664752"/>
    <w:rsid w:val="00673ABE"/>
    <w:rsid w:val="006777CE"/>
    <w:rsid w:val="006934E1"/>
    <w:rsid w:val="0069616E"/>
    <w:rsid w:val="006A7042"/>
    <w:rsid w:val="006A7123"/>
    <w:rsid w:val="006B0F4B"/>
    <w:rsid w:val="006D2A56"/>
    <w:rsid w:val="006D456D"/>
    <w:rsid w:val="006D7313"/>
    <w:rsid w:val="006F3D01"/>
    <w:rsid w:val="006F408B"/>
    <w:rsid w:val="00703777"/>
    <w:rsid w:val="00716804"/>
    <w:rsid w:val="00737A20"/>
    <w:rsid w:val="0074381E"/>
    <w:rsid w:val="007769B4"/>
    <w:rsid w:val="00795DC2"/>
    <w:rsid w:val="007C220B"/>
    <w:rsid w:val="007C257B"/>
    <w:rsid w:val="007C4FF4"/>
    <w:rsid w:val="007E0D5B"/>
    <w:rsid w:val="007F218B"/>
    <w:rsid w:val="00810D0C"/>
    <w:rsid w:val="00824025"/>
    <w:rsid w:val="008277F5"/>
    <w:rsid w:val="0083475B"/>
    <w:rsid w:val="00847B3C"/>
    <w:rsid w:val="00851ECC"/>
    <w:rsid w:val="00861D45"/>
    <w:rsid w:val="00866211"/>
    <w:rsid w:val="00890F33"/>
    <w:rsid w:val="008A2192"/>
    <w:rsid w:val="008B0BE1"/>
    <w:rsid w:val="008C6A37"/>
    <w:rsid w:val="008D0B65"/>
    <w:rsid w:val="008D7A7F"/>
    <w:rsid w:val="008E4B67"/>
    <w:rsid w:val="008F7F2F"/>
    <w:rsid w:val="00912DED"/>
    <w:rsid w:val="009224E2"/>
    <w:rsid w:val="00922C71"/>
    <w:rsid w:val="00931ADF"/>
    <w:rsid w:val="00933DD8"/>
    <w:rsid w:val="00934F3E"/>
    <w:rsid w:val="00937D77"/>
    <w:rsid w:val="00946BC0"/>
    <w:rsid w:val="00962587"/>
    <w:rsid w:val="00976496"/>
    <w:rsid w:val="009822BE"/>
    <w:rsid w:val="00990C9A"/>
    <w:rsid w:val="009970B7"/>
    <w:rsid w:val="009A45FD"/>
    <w:rsid w:val="009B0D59"/>
    <w:rsid w:val="009B0FCC"/>
    <w:rsid w:val="009C3FA3"/>
    <w:rsid w:val="009C4227"/>
    <w:rsid w:val="009D1FD1"/>
    <w:rsid w:val="009D2134"/>
    <w:rsid w:val="009F0927"/>
    <w:rsid w:val="00A01A53"/>
    <w:rsid w:val="00A020B8"/>
    <w:rsid w:val="00A169EE"/>
    <w:rsid w:val="00A25266"/>
    <w:rsid w:val="00A325D0"/>
    <w:rsid w:val="00A52A4D"/>
    <w:rsid w:val="00A54C43"/>
    <w:rsid w:val="00A57C43"/>
    <w:rsid w:val="00A62D36"/>
    <w:rsid w:val="00A64852"/>
    <w:rsid w:val="00A74096"/>
    <w:rsid w:val="00A76546"/>
    <w:rsid w:val="00A8081F"/>
    <w:rsid w:val="00A8708A"/>
    <w:rsid w:val="00A8790D"/>
    <w:rsid w:val="00A918A4"/>
    <w:rsid w:val="00A9534B"/>
    <w:rsid w:val="00AB093E"/>
    <w:rsid w:val="00AB791A"/>
    <w:rsid w:val="00AC0500"/>
    <w:rsid w:val="00AD51D9"/>
    <w:rsid w:val="00AD6740"/>
    <w:rsid w:val="00AE14F7"/>
    <w:rsid w:val="00AE3DA6"/>
    <w:rsid w:val="00AF0726"/>
    <w:rsid w:val="00AF0A58"/>
    <w:rsid w:val="00AF121D"/>
    <w:rsid w:val="00B03433"/>
    <w:rsid w:val="00B100CB"/>
    <w:rsid w:val="00B1463F"/>
    <w:rsid w:val="00B25010"/>
    <w:rsid w:val="00B370F4"/>
    <w:rsid w:val="00B4348E"/>
    <w:rsid w:val="00B47C04"/>
    <w:rsid w:val="00B66FA2"/>
    <w:rsid w:val="00B757C2"/>
    <w:rsid w:val="00B90553"/>
    <w:rsid w:val="00B91BBF"/>
    <w:rsid w:val="00B93818"/>
    <w:rsid w:val="00BA2588"/>
    <w:rsid w:val="00BA407A"/>
    <w:rsid w:val="00BB423E"/>
    <w:rsid w:val="00BC3841"/>
    <w:rsid w:val="00BC76FF"/>
    <w:rsid w:val="00BF7933"/>
    <w:rsid w:val="00C12119"/>
    <w:rsid w:val="00C1455B"/>
    <w:rsid w:val="00C149C4"/>
    <w:rsid w:val="00C17C17"/>
    <w:rsid w:val="00C24562"/>
    <w:rsid w:val="00C378B1"/>
    <w:rsid w:val="00C427C9"/>
    <w:rsid w:val="00C435D4"/>
    <w:rsid w:val="00C50520"/>
    <w:rsid w:val="00C63085"/>
    <w:rsid w:val="00C64EC0"/>
    <w:rsid w:val="00C70269"/>
    <w:rsid w:val="00C8411D"/>
    <w:rsid w:val="00C84F06"/>
    <w:rsid w:val="00C96C5A"/>
    <w:rsid w:val="00CA1B19"/>
    <w:rsid w:val="00CB0036"/>
    <w:rsid w:val="00CE6EAE"/>
    <w:rsid w:val="00CE7964"/>
    <w:rsid w:val="00CE7AC9"/>
    <w:rsid w:val="00CE7B3E"/>
    <w:rsid w:val="00CF3C5E"/>
    <w:rsid w:val="00D055B0"/>
    <w:rsid w:val="00D07F2D"/>
    <w:rsid w:val="00D13688"/>
    <w:rsid w:val="00D15FA8"/>
    <w:rsid w:val="00D23D4D"/>
    <w:rsid w:val="00D27938"/>
    <w:rsid w:val="00D51CC5"/>
    <w:rsid w:val="00D55851"/>
    <w:rsid w:val="00D8056F"/>
    <w:rsid w:val="00D877BB"/>
    <w:rsid w:val="00D92B61"/>
    <w:rsid w:val="00DB28E7"/>
    <w:rsid w:val="00DB3194"/>
    <w:rsid w:val="00DD6747"/>
    <w:rsid w:val="00DD6E45"/>
    <w:rsid w:val="00DE5D74"/>
    <w:rsid w:val="00DF0B81"/>
    <w:rsid w:val="00DF4EF1"/>
    <w:rsid w:val="00DF6570"/>
    <w:rsid w:val="00E01833"/>
    <w:rsid w:val="00E12CEE"/>
    <w:rsid w:val="00E27103"/>
    <w:rsid w:val="00E37F65"/>
    <w:rsid w:val="00E51564"/>
    <w:rsid w:val="00E62551"/>
    <w:rsid w:val="00E65BBC"/>
    <w:rsid w:val="00E74166"/>
    <w:rsid w:val="00E75826"/>
    <w:rsid w:val="00E804B9"/>
    <w:rsid w:val="00E8177A"/>
    <w:rsid w:val="00E839D5"/>
    <w:rsid w:val="00E90B38"/>
    <w:rsid w:val="00E90C89"/>
    <w:rsid w:val="00E95C79"/>
    <w:rsid w:val="00EA6A5C"/>
    <w:rsid w:val="00EB06BE"/>
    <w:rsid w:val="00EB6AAF"/>
    <w:rsid w:val="00F11449"/>
    <w:rsid w:val="00F211C0"/>
    <w:rsid w:val="00F224AE"/>
    <w:rsid w:val="00F2632D"/>
    <w:rsid w:val="00F5220F"/>
    <w:rsid w:val="00F54E60"/>
    <w:rsid w:val="00F5688C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1D681DEC"/>
    <w:rsid w:val="268758BC"/>
    <w:rsid w:val="3557428F"/>
    <w:rsid w:val="3D407E3C"/>
    <w:rsid w:val="3FCB28EB"/>
    <w:rsid w:val="40956B0D"/>
    <w:rsid w:val="4102509C"/>
    <w:rsid w:val="48A312B9"/>
    <w:rsid w:val="4B0123E4"/>
    <w:rsid w:val="4E1E02D7"/>
    <w:rsid w:val="4F204931"/>
    <w:rsid w:val="693A5856"/>
    <w:rsid w:val="6A2D5246"/>
    <w:rsid w:val="6D9552CA"/>
    <w:rsid w:val="73A82400"/>
    <w:rsid w:val="748F20DD"/>
    <w:rsid w:val="77FC616C"/>
    <w:rsid w:val="7EC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S Serif" w:hAnsi="MS Serif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MS Serif" w:hAnsi="MS Serif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spacing w:beforeLines="0" w:afterLines="0"/>
      <w:outlineLvl w:val="1"/>
    </w:pPr>
    <w:rPr>
      <w:rFonts w:hint="eastAsia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Plain Text"/>
    <w:basedOn w:val="1"/>
    <w:link w:val="14"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5">
    <w:name w:val="Balloon Text"/>
    <w:basedOn w:val="1"/>
    <w:link w:val="11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批注框文本 Char"/>
    <w:link w:val="5"/>
    <w:uiPriority w:val="0"/>
    <w:rPr>
      <w:sz w:val="18"/>
      <w:szCs w:val="18"/>
    </w:rPr>
  </w:style>
  <w:style w:type="paragraph" w:customStyle="1" w:styleId="12">
    <w:name w:val="Char Char"/>
    <w:basedOn w:val="3"/>
    <w:qFormat/>
    <w:uiPriority w:val="0"/>
    <w:pPr>
      <w:adjustRightInd/>
      <w:spacing w:line="240" w:lineRule="auto"/>
      <w:jc w:val="both"/>
      <w:textAlignment w:val="auto"/>
    </w:p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jc w:val="both"/>
      <w:textAlignment w:val="auto"/>
    </w:pPr>
    <w:rPr>
      <w:rFonts w:ascii="Calibri" w:hAnsi="Calibri"/>
      <w:kern w:val="2"/>
      <w:sz w:val="21"/>
      <w:szCs w:val="22"/>
    </w:rPr>
  </w:style>
  <w:style w:type="character" w:customStyle="1" w:styleId="14">
    <w:name w:val="纯文本 Char"/>
    <w:basedOn w:val="9"/>
    <w:link w:val="4"/>
    <w:uiPriority w:val="0"/>
    <w:rPr>
      <w:rFonts w:ascii="宋体"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1847</Words>
  <Characters>2002</Characters>
  <Lines>2</Lines>
  <Paragraphs>3</Paragraphs>
  <TotalTime>0</TotalTime>
  <ScaleCrop>false</ScaleCrop>
  <LinksUpToDate>false</LinksUpToDate>
  <CharactersWithSpaces>2101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2021-02-01T06:59:00Z</dcterms:created>
  <dc:creator>朱春礼</dc:creator>
  <cp:lastModifiedBy>dell</cp:lastModifiedBy>
  <cp:lastPrinted>2020-01-16T07:47:00Z</cp:lastPrinted>
  <dcterms:modified xsi:type="dcterms:W3CDTF">2022-09-01T09:05:57Z</dcterms:modified>
  <dc:title>附件1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2905B36BF3554313AD562A3A2432B3FB</vt:lpwstr>
  </property>
</Properties>
</file>