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eastAsia="黑体"/>
          <w:bCs/>
          <w:sz w:val="32"/>
          <w:szCs w:val="32"/>
        </w:rPr>
      </w:pPr>
      <w:r>
        <w:rPr>
          <w:rFonts w:eastAsia="黑体"/>
          <w:bCs/>
          <w:sz w:val="32"/>
          <w:szCs w:val="32"/>
        </w:rPr>
        <w:t>附件</w:t>
      </w:r>
      <w:r>
        <w:rPr>
          <w:rFonts w:hint="eastAsia" w:eastAsia="黑体"/>
          <w:bCs/>
          <w:sz w:val="32"/>
          <w:szCs w:val="32"/>
        </w:rPr>
        <w:t>5</w:t>
      </w:r>
    </w:p>
    <w:p>
      <w:pPr>
        <w:snapToGrid w:val="0"/>
        <w:spacing w:line="580" w:lineRule="exact"/>
        <w:jc w:val="center"/>
        <w:rPr>
          <w:rFonts w:ascii="仿宋_GB2312" w:hAnsi="华文中宋"/>
          <w:bCs/>
          <w:sz w:val="36"/>
          <w:szCs w:val="44"/>
        </w:rPr>
      </w:pPr>
    </w:p>
    <w:p>
      <w:pPr>
        <w:snapToGrid w:val="0"/>
        <w:spacing w:line="580" w:lineRule="exact"/>
        <w:jc w:val="center"/>
        <w:rPr>
          <w:rFonts w:eastAsia="宋体"/>
          <w:b/>
          <w:sz w:val="36"/>
          <w:szCs w:val="44"/>
        </w:rPr>
      </w:pPr>
      <w:r>
        <w:rPr>
          <w:rFonts w:eastAsia="宋体"/>
          <w:b/>
          <w:sz w:val="36"/>
          <w:szCs w:val="44"/>
        </w:rPr>
        <w:t>天津市</w:t>
      </w:r>
      <w:r>
        <w:rPr>
          <w:rFonts w:hint="eastAsia" w:eastAsia="宋体"/>
          <w:b/>
          <w:sz w:val="36"/>
          <w:szCs w:val="44"/>
        </w:rPr>
        <w:t>中央</w:t>
      </w:r>
      <w:r>
        <w:rPr>
          <w:rFonts w:eastAsia="宋体"/>
          <w:b/>
          <w:sz w:val="36"/>
          <w:szCs w:val="44"/>
        </w:rPr>
        <w:t>转移支付2022年度绩效自评报告</w:t>
      </w:r>
    </w:p>
    <w:p>
      <w:pPr>
        <w:snapToGrid w:val="0"/>
        <w:spacing w:line="580" w:lineRule="exact"/>
        <w:ind w:firstLine="600" w:firstLineChars="200"/>
        <w:rPr>
          <w:rFonts w:ascii="黑体" w:hAnsi="黑体" w:eastAsia="黑体" w:cs="黑体"/>
          <w:bCs/>
          <w:szCs w:val="32"/>
        </w:rPr>
      </w:pP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pPr>
        <w:snapToGrid w:val="0"/>
        <w:spacing w:line="580" w:lineRule="exact"/>
        <w:ind w:firstLine="600" w:firstLineChars="200"/>
        <w:outlineLvl w:val="0"/>
        <w:rPr>
          <w:rFonts w:ascii="仿宋_GB2312"/>
          <w:szCs w:val="32"/>
        </w:rPr>
      </w:pPr>
      <w:r>
        <w:rPr>
          <w:rFonts w:hint="eastAsia" w:ascii="仿宋_GB2312"/>
          <w:szCs w:val="32"/>
        </w:rPr>
        <w:t>根据津财基指〔2021〕98号《天津市财政局关于提前下达中央财政支持住房租赁市场发展试点（直达资金）的通知》。2022年下达转移支付100000万元，其中下达给西青区资金分配额度为9172万元。</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二、绩效情况分析</w:t>
      </w:r>
    </w:p>
    <w:p>
      <w:pPr>
        <w:snapToGrid w:val="0"/>
        <w:spacing w:line="580" w:lineRule="exact"/>
        <w:ind w:firstLine="602" w:firstLineChars="200"/>
        <w:outlineLvl w:val="0"/>
        <w:rPr>
          <w:rFonts w:ascii="楷体_GB2312" w:hAnsi="楷体_GB2312" w:eastAsia="楷体_GB2312" w:cs="楷体_GB2312"/>
          <w:b/>
          <w:bCs/>
          <w:szCs w:val="32"/>
        </w:rPr>
      </w:pPr>
      <w:r>
        <w:rPr>
          <w:rFonts w:hint="eastAsia" w:ascii="楷体_GB2312" w:hAnsi="楷体_GB2312" w:eastAsia="楷体_GB2312" w:cs="楷体_GB2312"/>
          <w:b/>
          <w:bCs/>
          <w:szCs w:val="32"/>
        </w:rPr>
        <w:t>（一）资金投入情况分析。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szCs w:val="32"/>
        </w:rPr>
        <w:t>项目资金投入情况分析：根据津财基指〔2021〕98号《天津市财政局关于提前下达中央财政支持住房租赁市场发展试点（直达资金）的通知》。2022年下达转移支付给西青区额度为9172万元。当年实际使用</w:t>
      </w:r>
      <w:r>
        <w:rPr>
          <w:rFonts w:hint="eastAsia" w:ascii="仿宋_GB2312" w:hAnsi="仿宋_GB2312" w:cs="仿宋_GB2312"/>
          <w:szCs w:val="32"/>
        </w:rPr>
        <w:t>0万元。</w:t>
      </w:r>
    </w:p>
    <w:p>
      <w:pPr>
        <w:numPr>
          <w:ilvl w:val="0"/>
          <w:numId w:val="1"/>
        </w:numPr>
        <w:snapToGrid w:val="0"/>
        <w:spacing w:line="580" w:lineRule="exact"/>
        <w:ind w:firstLine="602" w:firstLineChars="200"/>
        <w:outlineLvl w:val="0"/>
        <w:rPr>
          <w:rFonts w:ascii="楷体_GB2312" w:hAnsi="楷体_GB2312" w:eastAsia="楷体_GB2312" w:cs="楷体_GB2312"/>
          <w:b/>
          <w:bCs/>
          <w:szCs w:val="32"/>
        </w:rPr>
      </w:pPr>
      <w:r>
        <w:rPr>
          <w:rFonts w:hint="eastAsia" w:ascii="楷体_GB2312" w:hAnsi="楷体_GB2312" w:eastAsia="楷体_GB2312" w:cs="楷体_GB2312"/>
          <w:b/>
          <w:bCs/>
          <w:szCs w:val="32"/>
        </w:rPr>
        <w:t>资金管理情况分析。</w:t>
      </w:r>
    </w:p>
    <w:p>
      <w:pPr>
        <w:snapToGrid w:val="0"/>
        <w:spacing w:line="580" w:lineRule="exact"/>
        <w:outlineLvl w:val="0"/>
        <w:rPr>
          <w:rFonts w:ascii="仿宋_GB2312"/>
          <w:szCs w:val="32"/>
        </w:rPr>
      </w:pPr>
      <w:r>
        <w:rPr>
          <w:rFonts w:hint="eastAsia" w:ascii="仿宋_GB2312" w:hAnsi="仿宋_GB2312" w:cs="仿宋_GB2312"/>
          <w:szCs w:val="32"/>
        </w:rPr>
        <w:t xml:space="preserve">      1.资金分配情况：根据</w:t>
      </w:r>
      <w:r>
        <w:rPr>
          <w:rFonts w:hint="eastAsia" w:ascii="仿宋_GB2312"/>
          <w:szCs w:val="32"/>
        </w:rPr>
        <w:t>津财基指〔2021〕98号，严格按照转移支付管理制度以及资金管理办法规定的范围和标准分配资金，全部用于支持住房租赁市场发展试点资金。</w:t>
      </w:r>
    </w:p>
    <w:p>
      <w:pPr>
        <w:snapToGrid w:val="0"/>
        <w:spacing w:line="580" w:lineRule="exact"/>
        <w:outlineLvl w:val="0"/>
        <w:rPr>
          <w:rFonts w:ascii="仿宋_GB2312"/>
          <w:szCs w:val="32"/>
        </w:rPr>
      </w:pPr>
      <w:r>
        <w:rPr>
          <w:rFonts w:hint="eastAsia" w:ascii="仿宋_GB2312"/>
          <w:szCs w:val="32"/>
        </w:rPr>
        <w:t xml:space="preserve">      2.下达情况：严格按照预算法及其实施条例、转移支付管理制度规定以及资金管理办法规定的时限要求分解下达。</w:t>
      </w:r>
    </w:p>
    <w:p>
      <w:pPr>
        <w:snapToGrid w:val="0"/>
        <w:spacing w:line="580" w:lineRule="exact"/>
        <w:outlineLvl w:val="0"/>
        <w:rPr>
          <w:rFonts w:ascii="仿宋_GB2312"/>
          <w:szCs w:val="32"/>
        </w:rPr>
      </w:pPr>
      <w:r>
        <w:rPr>
          <w:rFonts w:hint="eastAsia" w:ascii="仿宋_GB2312"/>
          <w:szCs w:val="32"/>
        </w:rPr>
        <w:t xml:space="preserve">      3.拨付情况：严格按照国库集中支付制度有关规定支付资金，未出现违规将资金从国库转入财政专户或支付到预算单位实有资金账户等问题。2022年初下达9172万元，</w:t>
      </w:r>
      <w:r>
        <w:rPr>
          <w:rFonts w:hint="eastAsia" w:ascii="仿宋_GB2312"/>
          <w:szCs w:val="32"/>
          <w:highlight w:val="none"/>
          <w:lang w:val="en-US" w:eastAsia="zh-CN"/>
        </w:rPr>
        <w:t>2022年实际使用0万元，结转9172万元。</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textAlignment w:val="auto"/>
        <w:outlineLvl w:val="0"/>
        <w:rPr>
          <w:rFonts w:hint="eastAsia" w:ascii="仿宋_GB2312"/>
          <w:szCs w:val="32"/>
          <w:highlight w:val="none"/>
          <w:lang w:val="en-US" w:eastAsia="zh-CN"/>
        </w:rPr>
      </w:pPr>
      <w:r>
        <w:rPr>
          <w:rFonts w:hint="eastAsia" w:ascii="仿宋_GB2312"/>
          <w:szCs w:val="32"/>
        </w:rPr>
        <w:t>4.使用情况：严格按照下达预算的科目和项目执行，未出现截留、挤占、挪用或擅自调整等问题。</w:t>
      </w:r>
      <w:r>
        <w:rPr>
          <w:rFonts w:hint="eastAsia" w:ascii="仿宋_GB2312"/>
          <w:szCs w:val="32"/>
          <w:highlight w:val="none"/>
          <w:lang w:val="en-US" w:eastAsia="zh-CN"/>
        </w:rPr>
        <w:t>按照有关政策文件要求，改建项目凭保障性租赁住房项目认定书按项目预算价格计算奖补金额的80%拨付至奖补对象专用账户，拨付资金必然有一部分未形成拨付，但是此部分奖补资金已进行分配，等到项目竣工后再据实结算；另一方面，奖补资金须在企业开设完资金监管账户后才能进行预拨付，奖补资金拨付的时间节点取决于企业开设监管账户的快慢。</w:t>
      </w:r>
      <w:r>
        <w:rPr>
          <w:rFonts w:hint="eastAsia" w:ascii="仿宋_GB2312"/>
          <w:szCs w:val="32"/>
          <w:highlight w:val="none"/>
        </w:rPr>
        <w:t>中央财政支持住房租赁市场发展试点第四批资金（直达资金）</w:t>
      </w:r>
      <w:r>
        <w:rPr>
          <w:rFonts w:hint="eastAsia" w:ascii="仿宋_GB2312"/>
          <w:szCs w:val="32"/>
          <w:highlight w:val="none"/>
          <w:lang w:val="en-US" w:eastAsia="zh-CN"/>
        </w:rPr>
        <w:t>7209万元，</w:t>
      </w:r>
      <w:r>
        <w:rPr>
          <w:rFonts w:hint="eastAsia" w:ascii="仿宋_GB2312"/>
          <w:szCs w:val="32"/>
          <w:highlight w:val="none"/>
        </w:rPr>
        <w:t>中央财政支持住房租赁市场发展试点（直达资金）</w:t>
      </w:r>
      <w:r>
        <w:rPr>
          <w:rFonts w:hint="eastAsia" w:ascii="仿宋_GB2312"/>
          <w:szCs w:val="32"/>
          <w:highlight w:val="none"/>
          <w:lang w:val="en-US" w:eastAsia="zh-CN"/>
        </w:rPr>
        <w:t>9172万元，两笔资金共计16381万元。2022年至2023年第一季度共认定保障性租赁住房项目16个，分配落实奖补资金17719.7万元，已拨付至企业监管账户5473.8万元，虽然在“9172万元”中没有形成实际支出，但是该笔资金均已分配落实，只是按照政策文件要求不满足拨付条件，无法拨付，造成结转资金使用目标无法完成。</w:t>
      </w:r>
    </w:p>
    <w:p>
      <w:pPr>
        <w:snapToGrid w:val="0"/>
        <w:spacing w:line="580" w:lineRule="exact"/>
        <w:ind w:firstLine="900" w:firstLineChars="300"/>
        <w:outlineLvl w:val="0"/>
        <w:rPr>
          <w:rFonts w:ascii="仿宋_GB2312"/>
          <w:szCs w:val="32"/>
        </w:rPr>
      </w:pPr>
      <w:r>
        <w:rPr>
          <w:rFonts w:hint="eastAsia" w:ascii="仿宋_GB2312"/>
          <w:szCs w:val="32"/>
        </w:rPr>
        <w:t>5.执行情况：按照“落实分配奖补资金”的计算方法统计资金拨付使用情况，该笔资金已完成年度绩效指标,不存在执行数偏高预算数较多的问题。</w:t>
      </w:r>
    </w:p>
    <w:p>
      <w:pPr>
        <w:snapToGrid w:val="0"/>
        <w:spacing w:line="580" w:lineRule="exact"/>
        <w:ind w:firstLine="900" w:firstLineChars="300"/>
        <w:outlineLvl w:val="0"/>
        <w:rPr>
          <w:rFonts w:ascii="仿宋_GB2312"/>
          <w:szCs w:val="32"/>
        </w:rPr>
      </w:pPr>
      <w:r>
        <w:rPr>
          <w:rFonts w:hint="eastAsia" w:ascii="仿宋_GB2312"/>
          <w:szCs w:val="32"/>
        </w:rPr>
        <w:t>6.预算绩效管理：在细化下达预算时同步下达绩效目标，将有关资金纳入本级预算或对下转移支付绩效管理，开展绩效监控和绩效评价。</w:t>
      </w:r>
    </w:p>
    <w:p>
      <w:pPr>
        <w:snapToGrid w:val="0"/>
        <w:spacing w:line="580" w:lineRule="exact"/>
        <w:ind w:firstLine="900" w:firstLineChars="300"/>
        <w:outlineLvl w:val="0"/>
        <w:rPr>
          <w:rFonts w:ascii="仿宋_GB2312"/>
          <w:szCs w:val="32"/>
        </w:rPr>
      </w:pPr>
      <w:r>
        <w:rPr>
          <w:rFonts w:hint="eastAsia" w:ascii="仿宋_GB2312"/>
          <w:szCs w:val="32"/>
        </w:rPr>
        <w:t>7.支出责任履行：对共同财政事权转移支付，按照财政事权和支出责任划分有关规定，足额安排资金履行本级支出责任。</w:t>
      </w:r>
    </w:p>
    <w:p>
      <w:pPr>
        <w:snapToGrid w:val="0"/>
        <w:spacing w:line="580" w:lineRule="exact"/>
        <w:ind w:firstLine="602" w:firstLineChars="200"/>
        <w:outlineLvl w:val="0"/>
        <w:rPr>
          <w:rFonts w:ascii="楷体_GB2312" w:hAnsi="楷体_GB2312" w:eastAsia="楷体_GB2312" w:cs="楷体_GB2312"/>
          <w:b/>
          <w:bCs/>
          <w:szCs w:val="32"/>
        </w:rPr>
      </w:pPr>
      <w:r>
        <w:rPr>
          <w:rFonts w:hint="eastAsia" w:ascii="楷体_GB2312" w:hAnsi="楷体_GB2312" w:eastAsia="楷体_GB2312" w:cs="楷体_GB2312"/>
          <w:b/>
          <w:bCs/>
          <w:szCs w:val="32"/>
        </w:rPr>
        <w:t>（三）总体绩效目标完成情况分析。</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2022年天津市西青区住房和建设服务中心总体绩效目标为完成年度筹集、建设中央财政支持保障性</w:t>
      </w:r>
      <w:bookmarkStart w:id="0" w:name="_GoBack"/>
      <w:bookmarkEnd w:id="0"/>
      <w:r>
        <w:rPr>
          <w:rFonts w:hint="eastAsia" w:ascii="仿宋_GB2312" w:hAnsi="仿宋_GB2312" w:cs="仿宋_GB2312"/>
          <w:szCs w:val="32"/>
        </w:rPr>
        <w:t>安居工程补助资金用于租赁住房保障区域任务。提高城镇保障性安居工程财政资金使用效益，更好实现城镇保障性安居工程建设目标。</w:t>
      </w:r>
    </w:p>
    <w:p>
      <w:pPr>
        <w:snapToGrid w:val="0"/>
        <w:spacing w:line="580" w:lineRule="exact"/>
        <w:ind w:firstLine="600" w:firstLineChars="200"/>
        <w:outlineLvl w:val="0"/>
        <w:rPr>
          <w:rFonts w:ascii="仿宋_GB2312" w:hAnsi="仿宋_GB2312" w:cs="仿宋_GB2312"/>
          <w:szCs w:val="32"/>
        </w:rPr>
      </w:pPr>
      <w:r>
        <w:rPr>
          <w:rFonts w:hint="eastAsia" w:ascii="仿宋_GB2312" w:hAnsi="仿宋_GB2312" w:cs="仿宋_GB2312"/>
          <w:szCs w:val="32"/>
        </w:rPr>
        <w:t>实际审核了13家企业的资质条件，备案了1家企业的租赁住房申请，完成了用于租赁住房保障区域任务的中央财政支持保障性安居工程补助资金拨付工作。提高了城镇保障性安居工程建设目标，提升了租赁住房居住环境。</w:t>
      </w:r>
    </w:p>
    <w:p>
      <w:pPr>
        <w:numPr>
          <w:ilvl w:val="0"/>
          <w:numId w:val="2"/>
        </w:numPr>
        <w:snapToGrid w:val="0"/>
        <w:spacing w:line="580" w:lineRule="exact"/>
        <w:ind w:firstLine="602" w:firstLineChars="200"/>
        <w:outlineLvl w:val="0"/>
        <w:rPr>
          <w:rFonts w:ascii="仿宋_GB2312"/>
          <w:szCs w:val="32"/>
        </w:rPr>
      </w:pPr>
      <w:r>
        <w:rPr>
          <w:rFonts w:hint="eastAsia" w:ascii="楷体_GB2312" w:hAnsi="楷体_GB2312" w:eastAsia="楷体_GB2312" w:cs="楷体_GB2312"/>
          <w:b/>
          <w:bCs/>
          <w:szCs w:val="32"/>
        </w:rPr>
        <w:t>绩效指标完成情况分析。</w:t>
      </w:r>
    </w:p>
    <w:p>
      <w:pPr>
        <w:snapToGrid w:val="0"/>
        <w:spacing w:line="580" w:lineRule="exact"/>
        <w:outlineLvl w:val="0"/>
        <w:rPr>
          <w:rFonts w:ascii="仿宋_GB2312"/>
          <w:szCs w:val="32"/>
        </w:rPr>
      </w:pPr>
      <w:r>
        <w:rPr>
          <w:rFonts w:hint="eastAsia" w:ascii="仿宋_GB2312"/>
          <w:szCs w:val="32"/>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960"/>
        <w:gridCol w:w="2312"/>
        <w:gridCol w:w="2130"/>
        <w:gridCol w:w="2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Align w:val="center"/>
          </w:tcPr>
          <w:p>
            <w:pPr>
              <w:snapToGrid w:val="0"/>
              <w:spacing w:line="580" w:lineRule="exact"/>
              <w:jc w:val="center"/>
              <w:outlineLvl w:val="0"/>
              <w:rPr>
                <w:rFonts w:ascii="仿宋_GB2312"/>
                <w:sz w:val="24"/>
              </w:rPr>
            </w:pPr>
            <w:r>
              <w:rPr>
                <w:rFonts w:hint="eastAsia" w:ascii="仿宋_GB2312"/>
                <w:sz w:val="24"/>
              </w:rPr>
              <w:t>一级指标</w:t>
            </w:r>
          </w:p>
        </w:tc>
        <w:tc>
          <w:tcPr>
            <w:tcW w:w="960" w:type="dxa"/>
            <w:vAlign w:val="center"/>
          </w:tcPr>
          <w:p>
            <w:pPr>
              <w:snapToGrid w:val="0"/>
              <w:spacing w:line="580" w:lineRule="exact"/>
              <w:jc w:val="center"/>
              <w:outlineLvl w:val="0"/>
              <w:rPr>
                <w:rFonts w:ascii="仿宋_GB2312"/>
                <w:sz w:val="24"/>
              </w:rPr>
            </w:pPr>
            <w:r>
              <w:rPr>
                <w:rFonts w:hint="eastAsia" w:ascii="仿宋_GB2312"/>
                <w:sz w:val="24"/>
              </w:rPr>
              <w:t>二级指标</w:t>
            </w:r>
          </w:p>
        </w:tc>
        <w:tc>
          <w:tcPr>
            <w:tcW w:w="2312" w:type="dxa"/>
            <w:vAlign w:val="center"/>
          </w:tcPr>
          <w:p>
            <w:pPr>
              <w:snapToGrid w:val="0"/>
              <w:spacing w:line="580" w:lineRule="exact"/>
              <w:jc w:val="center"/>
              <w:outlineLvl w:val="0"/>
              <w:rPr>
                <w:rFonts w:ascii="仿宋_GB2312"/>
                <w:sz w:val="24"/>
              </w:rPr>
            </w:pPr>
            <w:r>
              <w:rPr>
                <w:rFonts w:hint="eastAsia" w:ascii="仿宋_GB2312"/>
                <w:sz w:val="24"/>
              </w:rPr>
              <w:t>三级指标</w:t>
            </w:r>
          </w:p>
        </w:tc>
        <w:tc>
          <w:tcPr>
            <w:tcW w:w="2130" w:type="dxa"/>
            <w:vAlign w:val="center"/>
          </w:tcPr>
          <w:p>
            <w:pPr>
              <w:snapToGrid w:val="0"/>
              <w:spacing w:line="580" w:lineRule="exact"/>
              <w:jc w:val="center"/>
              <w:outlineLvl w:val="0"/>
              <w:rPr>
                <w:rFonts w:ascii="仿宋_GB2312"/>
                <w:sz w:val="24"/>
              </w:rPr>
            </w:pPr>
            <w:r>
              <w:rPr>
                <w:rFonts w:hint="eastAsia" w:ascii="仿宋_GB2312"/>
                <w:sz w:val="24"/>
              </w:rPr>
              <w:t>指标值</w:t>
            </w:r>
          </w:p>
        </w:tc>
        <w:tc>
          <w:tcPr>
            <w:tcW w:w="2315" w:type="dxa"/>
            <w:vAlign w:val="center"/>
          </w:tcPr>
          <w:p>
            <w:pPr>
              <w:snapToGrid w:val="0"/>
              <w:spacing w:line="580" w:lineRule="exact"/>
              <w:jc w:val="center"/>
              <w:outlineLvl w:val="0"/>
              <w:rPr>
                <w:rFonts w:ascii="仿宋_GB2312"/>
                <w:sz w:val="24"/>
              </w:rPr>
            </w:pPr>
            <w:r>
              <w:rPr>
                <w:rFonts w:hint="eastAsia" w:ascii="仿宋_GB2312"/>
                <w:sz w:val="24"/>
              </w:rPr>
              <w:t>全年实际完成值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restart"/>
            <w:vAlign w:val="center"/>
          </w:tcPr>
          <w:p>
            <w:pPr>
              <w:snapToGrid w:val="0"/>
              <w:spacing w:line="580" w:lineRule="exact"/>
              <w:jc w:val="center"/>
              <w:outlineLvl w:val="0"/>
              <w:rPr>
                <w:rFonts w:ascii="仿宋_GB2312"/>
                <w:sz w:val="24"/>
              </w:rPr>
            </w:pPr>
            <w:r>
              <w:rPr>
                <w:rFonts w:hint="eastAsia" w:ascii="仿宋_GB2312"/>
                <w:sz w:val="24"/>
              </w:rPr>
              <w:t>产出指标</w:t>
            </w:r>
          </w:p>
        </w:tc>
        <w:tc>
          <w:tcPr>
            <w:tcW w:w="960" w:type="dxa"/>
            <w:vMerge w:val="restart"/>
            <w:vAlign w:val="center"/>
          </w:tcPr>
          <w:p>
            <w:pPr>
              <w:snapToGrid w:val="0"/>
              <w:spacing w:line="580" w:lineRule="exact"/>
              <w:jc w:val="center"/>
              <w:outlineLvl w:val="0"/>
              <w:rPr>
                <w:rFonts w:ascii="仿宋_GB2312"/>
                <w:sz w:val="24"/>
              </w:rPr>
            </w:pPr>
            <w:r>
              <w:rPr>
                <w:rFonts w:hint="eastAsia" w:ascii="仿宋_GB2312"/>
                <w:sz w:val="24"/>
              </w:rPr>
              <w:t>数量指标</w:t>
            </w:r>
          </w:p>
        </w:tc>
        <w:tc>
          <w:tcPr>
            <w:tcW w:w="2312" w:type="dxa"/>
            <w:vAlign w:val="center"/>
          </w:tcPr>
          <w:p>
            <w:pPr>
              <w:snapToGrid w:val="0"/>
              <w:spacing w:line="580" w:lineRule="exact"/>
              <w:jc w:val="center"/>
              <w:outlineLvl w:val="0"/>
              <w:rPr>
                <w:rFonts w:ascii="仿宋_GB2312"/>
                <w:sz w:val="24"/>
              </w:rPr>
            </w:pPr>
            <w:r>
              <w:rPr>
                <w:rFonts w:ascii="仿宋_GB2312"/>
                <w:sz w:val="24"/>
              </w:rPr>
              <w:t>筹集租赁住房数量</w:t>
            </w:r>
          </w:p>
        </w:tc>
        <w:tc>
          <w:tcPr>
            <w:tcW w:w="2130" w:type="dxa"/>
            <w:vAlign w:val="center"/>
          </w:tcPr>
          <w:p>
            <w:pPr>
              <w:snapToGrid w:val="0"/>
              <w:spacing w:line="580" w:lineRule="exact"/>
              <w:jc w:val="center"/>
              <w:outlineLvl w:val="0"/>
              <w:rPr>
                <w:rFonts w:ascii="仿宋_GB2312"/>
                <w:sz w:val="24"/>
              </w:rPr>
            </w:pPr>
            <w:r>
              <w:rPr>
                <w:rFonts w:ascii="仿宋_GB2312"/>
                <w:sz w:val="24"/>
              </w:rPr>
              <w:t>≥</w:t>
            </w:r>
            <w:r>
              <w:rPr>
                <w:rFonts w:hint="eastAsia" w:ascii="仿宋_GB2312"/>
                <w:sz w:val="24"/>
              </w:rPr>
              <w:t xml:space="preserve"> </w:t>
            </w:r>
            <w:r>
              <w:rPr>
                <w:rFonts w:ascii="仿宋_GB2312"/>
                <w:sz w:val="24"/>
              </w:rPr>
              <w:t>1500间</w:t>
            </w:r>
          </w:p>
        </w:tc>
        <w:tc>
          <w:tcPr>
            <w:tcW w:w="2315" w:type="dxa"/>
            <w:vAlign w:val="center"/>
          </w:tcPr>
          <w:p>
            <w:pPr>
              <w:snapToGrid w:val="0"/>
              <w:spacing w:line="580" w:lineRule="exact"/>
              <w:jc w:val="center"/>
              <w:outlineLvl w:val="0"/>
              <w:rPr>
                <w:rFonts w:ascii="仿宋_GB2312"/>
                <w:sz w:val="24"/>
              </w:rPr>
            </w:pPr>
            <w:r>
              <w:rPr>
                <w:rFonts w:ascii="仿宋_GB2312"/>
                <w:sz w:val="24"/>
              </w:rPr>
              <w:t>1600间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snapToGrid w:val="0"/>
              <w:spacing w:line="580" w:lineRule="exact"/>
              <w:jc w:val="center"/>
              <w:outlineLvl w:val="0"/>
              <w:rPr>
                <w:rFonts w:ascii="仿宋_GB2312"/>
                <w:sz w:val="24"/>
              </w:rPr>
            </w:pPr>
          </w:p>
        </w:tc>
        <w:tc>
          <w:tcPr>
            <w:tcW w:w="960" w:type="dxa"/>
            <w:vMerge w:val="continue"/>
            <w:vAlign w:val="center"/>
          </w:tcPr>
          <w:p>
            <w:pPr>
              <w:snapToGrid w:val="0"/>
              <w:spacing w:line="580" w:lineRule="exact"/>
              <w:jc w:val="center"/>
              <w:outlineLvl w:val="0"/>
              <w:rPr>
                <w:rFonts w:ascii="仿宋_GB2312"/>
                <w:sz w:val="24"/>
              </w:rPr>
            </w:pPr>
          </w:p>
        </w:tc>
        <w:tc>
          <w:tcPr>
            <w:tcW w:w="2312" w:type="dxa"/>
            <w:vAlign w:val="center"/>
          </w:tcPr>
          <w:p>
            <w:pPr>
              <w:snapToGrid w:val="0"/>
              <w:spacing w:line="580" w:lineRule="exact"/>
              <w:jc w:val="center"/>
              <w:outlineLvl w:val="0"/>
              <w:rPr>
                <w:rFonts w:ascii="仿宋_GB2312"/>
                <w:sz w:val="24"/>
              </w:rPr>
            </w:pPr>
            <w:r>
              <w:rPr>
                <w:rFonts w:ascii="仿宋_GB2312"/>
                <w:sz w:val="24"/>
              </w:rPr>
              <w:t>租赁住房项目备案条件审核数量</w:t>
            </w:r>
          </w:p>
        </w:tc>
        <w:tc>
          <w:tcPr>
            <w:tcW w:w="2130" w:type="dxa"/>
            <w:vAlign w:val="center"/>
          </w:tcPr>
          <w:p>
            <w:pPr>
              <w:snapToGrid w:val="0"/>
              <w:spacing w:line="580" w:lineRule="exact"/>
              <w:jc w:val="center"/>
              <w:outlineLvl w:val="0"/>
              <w:rPr>
                <w:rFonts w:ascii="仿宋_GB2312"/>
                <w:sz w:val="24"/>
              </w:rPr>
            </w:pPr>
            <w:r>
              <w:rPr>
                <w:rFonts w:ascii="仿宋_GB2312"/>
                <w:sz w:val="24"/>
              </w:rPr>
              <w:t xml:space="preserve"> ≥</w:t>
            </w:r>
            <w:r>
              <w:rPr>
                <w:rFonts w:hint="eastAsia" w:ascii="仿宋_GB2312"/>
                <w:sz w:val="24"/>
              </w:rPr>
              <w:t xml:space="preserve"> </w:t>
            </w:r>
            <w:r>
              <w:rPr>
                <w:rFonts w:ascii="仿宋_GB2312"/>
                <w:sz w:val="24"/>
              </w:rPr>
              <w:t xml:space="preserve">13个 </w:t>
            </w:r>
          </w:p>
        </w:tc>
        <w:tc>
          <w:tcPr>
            <w:tcW w:w="2315" w:type="dxa"/>
            <w:vAlign w:val="center"/>
          </w:tcPr>
          <w:p>
            <w:pPr>
              <w:snapToGrid w:val="0"/>
              <w:spacing w:line="580" w:lineRule="exact"/>
              <w:jc w:val="center"/>
              <w:outlineLvl w:val="0"/>
              <w:rPr>
                <w:rFonts w:ascii="仿宋_GB2312"/>
                <w:sz w:val="24"/>
              </w:rPr>
            </w:pPr>
            <w:r>
              <w:rPr>
                <w:rFonts w:ascii="仿宋_GB2312"/>
                <w:sz w:val="24"/>
              </w:rPr>
              <w:t>13个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snapToGrid w:val="0"/>
              <w:spacing w:line="580" w:lineRule="exact"/>
              <w:jc w:val="center"/>
              <w:outlineLvl w:val="0"/>
              <w:rPr>
                <w:rFonts w:ascii="仿宋_GB2312"/>
                <w:sz w:val="24"/>
              </w:rPr>
            </w:pPr>
          </w:p>
        </w:tc>
        <w:tc>
          <w:tcPr>
            <w:tcW w:w="960" w:type="dxa"/>
            <w:vAlign w:val="center"/>
          </w:tcPr>
          <w:p>
            <w:pPr>
              <w:snapToGrid w:val="0"/>
              <w:spacing w:line="580" w:lineRule="exact"/>
              <w:jc w:val="center"/>
              <w:outlineLvl w:val="0"/>
              <w:rPr>
                <w:rFonts w:ascii="仿宋_GB2312"/>
                <w:sz w:val="24"/>
              </w:rPr>
            </w:pPr>
            <w:r>
              <w:rPr>
                <w:rFonts w:hint="eastAsia" w:ascii="仿宋_GB2312"/>
                <w:sz w:val="24"/>
              </w:rPr>
              <w:t>质量指标</w:t>
            </w:r>
          </w:p>
        </w:tc>
        <w:tc>
          <w:tcPr>
            <w:tcW w:w="2312" w:type="dxa"/>
            <w:vAlign w:val="center"/>
          </w:tcPr>
          <w:p>
            <w:pPr>
              <w:snapToGrid w:val="0"/>
              <w:spacing w:line="580" w:lineRule="exact"/>
              <w:jc w:val="center"/>
              <w:outlineLvl w:val="0"/>
              <w:rPr>
                <w:rFonts w:ascii="仿宋_GB2312"/>
                <w:sz w:val="24"/>
              </w:rPr>
            </w:pPr>
            <w:r>
              <w:rPr>
                <w:rFonts w:ascii="仿宋_GB2312"/>
                <w:sz w:val="24"/>
              </w:rPr>
              <w:t>发放奖补资金合规率</w:t>
            </w:r>
          </w:p>
        </w:tc>
        <w:tc>
          <w:tcPr>
            <w:tcW w:w="2130" w:type="dxa"/>
            <w:vAlign w:val="center"/>
          </w:tcPr>
          <w:p>
            <w:pPr>
              <w:snapToGrid w:val="0"/>
              <w:spacing w:line="580" w:lineRule="exact"/>
              <w:jc w:val="center"/>
              <w:outlineLvl w:val="0"/>
              <w:rPr>
                <w:rFonts w:ascii="仿宋_GB2312"/>
                <w:sz w:val="24"/>
              </w:rPr>
            </w:pPr>
            <w:r>
              <w:rPr>
                <w:rFonts w:ascii="仿宋_GB2312"/>
                <w:sz w:val="24"/>
              </w:rPr>
              <w:t>=100%</w:t>
            </w:r>
          </w:p>
        </w:tc>
        <w:tc>
          <w:tcPr>
            <w:tcW w:w="2315" w:type="dxa"/>
            <w:vAlign w:val="center"/>
          </w:tcPr>
          <w:p>
            <w:pPr>
              <w:snapToGrid w:val="0"/>
              <w:spacing w:line="580" w:lineRule="exact"/>
              <w:jc w:val="center"/>
              <w:outlineLvl w:val="0"/>
              <w:rPr>
                <w:rFonts w:ascii="仿宋_GB2312"/>
                <w:sz w:val="24"/>
              </w:rPr>
            </w:pPr>
            <w:r>
              <w:rPr>
                <w:rFonts w:ascii="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snapToGrid w:val="0"/>
              <w:spacing w:line="580" w:lineRule="exact"/>
              <w:jc w:val="center"/>
              <w:outlineLvl w:val="0"/>
              <w:rPr>
                <w:rFonts w:ascii="仿宋_GB2312"/>
                <w:sz w:val="24"/>
              </w:rPr>
            </w:pPr>
          </w:p>
        </w:tc>
        <w:tc>
          <w:tcPr>
            <w:tcW w:w="960" w:type="dxa"/>
            <w:vAlign w:val="center"/>
          </w:tcPr>
          <w:p>
            <w:pPr>
              <w:snapToGrid w:val="0"/>
              <w:spacing w:line="580" w:lineRule="exact"/>
              <w:jc w:val="center"/>
              <w:outlineLvl w:val="0"/>
              <w:rPr>
                <w:rFonts w:ascii="仿宋_GB2312"/>
                <w:sz w:val="24"/>
              </w:rPr>
            </w:pPr>
            <w:r>
              <w:rPr>
                <w:rFonts w:hint="eastAsia" w:ascii="仿宋_GB2312"/>
                <w:sz w:val="24"/>
              </w:rPr>
              <w:t>时效指标</w:t>
            </w:r>
          </w:p>
        </w:tc>
        <w:tc>
          <w:tcPr>
            <w:tcW w:w="2312" w:type="dxa"/>
            <w:vAlign w:val="center"/>
          </w:tcPr>
          <w:p>
            <w:pPr>
              <w:snapToGrid w:val="0"/>
              <w:spacing w:line="580" w:lineRule="exact"/>
              <w:jc w:val="center"/>
              <w:outlineLvl w:val="0"/>
              <w:rPr>
                <w:rFonts w:ascii="仿宋_GB2312"/>
                <w:sz w:val="24"/>
              </w:rPr>
            </w:pPr>
            <w:r>
              <w:rPr>
                <w:rFonts w:ascii="仿宋_GB2312"/>
                <w:sz w:val="24"/>
              </w:rPr>
              <w:t>奖补资金拨付及时率</w:t>
            </w:r>
          </w:p>
        </w:tc>
        <w:tc>
          <w:tcPr>
            <w:tcW w:w="2130" w:type="dxa"/>
            <w:vAlign w:val="center"/>
          </w:tcPr>
          <w:p>
            <w:pPr>
              <w:snapToGrid w:val="0"/>
              <w:spacing w:line="580" w:lineRule="exact"/>
              <w:jc w:val="center"/>
              <w:outlineLvl w:val="0"/>
              <w:rPr>
                <w:rFonts w:ascii="仿宋_GB2312"/>
                <w:sz w:val="24"/>
              </w:rPr>
            </w:pPr>
            <w:r>
              <w:rPr>
                <w:rFonts w:ascii="仿宋_GB2312"/>
                <w:sz w:val="24"/>
              </w:rPr>
              <w:t>=100%</w:t>
            </w:r>
          </w:p>
        </w:tc>
        <w:tc>
          <w:tcPr>
            <w:tcW w:w="2315" w:type="dxa"/>
            <w:vAlign w:val="center"/>
          </w:tcPr>
          <w:p>
            <w:pPr>
              <w:snapToGrid w:val="0"/>
              <w:spacing w:line="580" w:lineRule="exact"/>
              <w:jc w:val="center"/>
              <w:outlineLvl w:val="0"/>
              <w:rPr>
                <w:rFonts w:ascii="仿宋_GB2312"/>
                <w:sz w:val="24"/>
              </w:rPr>
            </w:pPr>
            <w:r>
              <w:rPr>
                <w:rFonts w:ascii="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snapToGrid w:val="0"/>
              <w:spacing w:line="580" w:lineRule="exact"/>
              <w:jc w:val="center"/>
              <w:outlineLvl w:val="0"/>
              <w:rPr>
                <w:rFonts w:ascii="仿宋_GB2312"/>
                <w:sz w:val="24"/>
              </w:rPr>
            </w:pPr>
          </w:p>
        </w:tc>
        <w:tc>
          <w:tcPr>
            <w:tcW w:w="960" w:type="dxa"/>
            <w:vAlign w:val="center"/>
          </w:tcPr>
          <w:p>
            <w:pPr>
              <w:snapToGrid w:val="0"/>
              <w:spacing w:line="580" w:lineRule="exact"/>
              <w:jc w:val="center"/>
              <w:outlineLvl w:val="0"/>
              <w:rPr>
                <w:rFonts w:ascii="仿宋_GB2312"/>
                <w:sz w:val="24"/>
              </w:rPr>
            </w:pPr>
            <w:r>
              <w:rPr>
                <w:rFonts w:hint="eastAsia" w:ascii="仿宋_GB2312"/>
                <w:sz w:val="24"/>
              </w:rPr>
              <w:t>成本指标</w:t>
            </w:r>
          </w:p>
        </w:tc>
        <w:tc>
          <w:tcPr>
            <w:tcW w:w="2312" w:type="dxa"/>
            <w:vAlign w:val="center"/>
          </w:tcPr>
          <w:p>
            <w:pPr>
              <w:snapToGrid w:val="0"/>
              <w:spacing w:line="580" w:lineRule="exact"/>
              <w:jc w:val="center"/>
              <w:outlineLvl w:val="0"/>
              <w:rPr>
                <w:rFonts w:ascii="仿宋_GB2312"/>
                <w:sz w:val="24"/>
              </w:rPr>
            </w:pPr>
            <w:r>
              <w:rPr>
                <w:rFonts w:ascii="仿宋_GB2312"/>
                <w:sz w:val="24"/>
              </w:rPr>
              <w:t>项目支出不超过预算金额</w:t>
            </w:r>
          </w:p>
        </w:tc>
        <w:tc>
          <w:tcPr>
            <w:tcW w:w="2130" w:type="dxa"/>
            <w:vAlign w:val="center"/>
          </w:tcPr>
          <w:p>
            <w:pPr>
              <w:snapToGrid w:val="0"/>
              <w:spacing w:line="580" w:lineRule="exact"/>
              <w:jc w:val="center"/>
              <w:outlineLvl w:val="0"/>
              <w:rPr>
                <w:rFonts w:ascii="仿宋_GB2312"/>
                <w:sz w:val="24"/>
              </w:rPr>
            </w:pPr>
            <w:r>
              <w:rPr>
                <w:rFonts w:ascii="仿宋_GB2312"/>
                <w:sz w:val="24"/>
              </w:rPr>
              <w:t>≤</w:t>
            </w:r>
            <w:r>
              <w:rPr>
                <w:rFonts w:hint="eastAsia" w:ascii="仿宋_GB2312"/>
                <w:sz w:val="24"/>
              </w:rPr>
              <w:t xml:space="preserve"> 9172</w:t>
            </w:r>
            <w:r>
              <w:rPr>
                <w:rFonts w:ascii="仿宋_GB2312"/>
                <w:sz w:val="24"/>
              </w:rPr>
              <w:t>万元</w:t>
            </w:r>
          </w:p>
        </w:tc>
        <w:tc>
          <w:tcPr>
            <w:tcW w:w="2315" w:type="dxa"/>
            <w:vAlign w:val="center"/>
          </w:tcPr>
          <w:p>
            <w:pPr>
              <w:snapToGrid w:val="0"/>
              <w:spacing w:line="580" w:lineRule="exact"/>
              <w:jc w:val="center"/>
              <w:outlineLvl w:val="0"/>
              <w:rPr>
                <w:rFonts w:ascii="仿宋_GB2312"/>
                <w:sz w:val="24"/>
              </w:rPr>
            </w:pPr>
            <w:r>
              <w:rPr>
                <w:rFonts w:hint="eastAsia" w:ascii="仿宋_GB2312"/>
                <w:sz w:val="24"/>
              </w:rPr>
              <w:t>0</w:t>
            </w:r>
            <w:r>
              <w:rPr>
                <w:rFonts w:ascii="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0" w:hRule="atLeast"/>
        </w:trPr>
        <w:tc>
          <w:tcPr>
            <w:tcW w:w="805" w:type="dxa"/>
            <w:vMerge w:val="restart"/>
            <w:vAlign w:val="center"/>
          </w:tcPr>
          <w:p>
            <w:pPr>
              <w:tabs>
                <w:tab w:val="left" w:pos="444"/>
              </w:tabs>
              <w:snapToGrid w:val="0"/>
              <w:spacing w:line="580" w:lineRule="exact"/>
              <w:jc w:val="center"/>
              <w:outlineLvl w:val="0"/>
              <w:rPr>
                <w:rFonts w:ascii="仿宋_GB2312"/>
                <w:sz w:val="24"/>
              </w:rPr>
            </w:pPr>
            <w:r>
              <w:rPr>
                <w:rFonts w:hint="eastAsia" w:ascii="仿宋_GB2312"/>
                <w:sz w:val="24"/>
              </w:rPr>
              <w:t>效益指标</w:t>
            </w:r>
          </w:p>
        </w:tc>
        <w:tc>
          <w:tcPr>
            <w:tcW w:w="960" w:type="dxa"/>
            <w:vAlign w:val="center"/>
          </w:tcPr>
          <w:p>
            <w:pPr>
              <w:snapToGrid w:val="0"/>
              <w:spacing w:line="580" w:lineRule="exact"/>
              <w:jc w:val="center"/>
              <w:outlineLvl w:val="0"/>
              <w:rPr>
                <w:rFonts w:ascii="仿宋_GB2312"/>
                <w:sz w:val="24"/>
              </w:rPr>
            </w:pPr>
            <w:r>
              <w:rPr>
                <w:rFonts w:hint="eastAsia" w:ascii="仿宋_GB2312"/>
                <w:sz w:val="24"/>
              </w:rPr>
              <w:t>社会效益指标</w:t>
            </w:r>
          </w:p>
        </w:tc>
        <w:tc>
          <w:tcPr>
            <w:tcW w:w="2312" w:type="dxa"/>
            <w:vAlign w:val="center"/>
          </w:tcPr>
          <w:p>
            <w:pPr>
              <w:snapToGrid w:val="0"/>
              <w:spacing w:line="580" w:lineRule="exact"/>
              <w:jc w:val="center"/>
              <w:outlineLvl w:val="0"/>
              <w:rPr>
                <w:rFonts w:ascii="仿宋_GB2312"/>
                <w:sz w:val="24"/>
              </w:rPr>
            </w:pPr>
            <w:r>
              <w:rPr>
                <w:rFonts w:ascii="仿宋_GB2312"/>
                <w:sz w:val="24"/>
              </w:rPr>
              <w:t>改善租赁市场供需矛盾突出问题</w:t>
            </w:r>
          </w:p>
        </w:tc>
        <w:tc>
          <w:tcPr>
            <w:tcW w:w="2130" w:type="dxa"/>
            <w:vAlign w:val="center"/>
          </w:tcPr>
          <w:p>
            <w:pPr>
              <w:snapToGrid w:val="0"/>
              <w:spacing w:line="580" w:lineRule="exact"/>
              <w:jc w:val="center"/>
              <w:outlineLvl w:val="0"/>
              <w:rPr>
                <w:rFonts w:ascii="仿宋_GB2312"/>
                <w:sz w:val="24"/>
              </w:rPr>
            </w:pPr>
            <w:r>
              <w:rPr>
                <w:rFonts w:ascii="仿宋_GB2312"/>
                <w:sz w:val="24"/>
              </w:rPr>
              <w:t>有所改善</w:t>
            </w:r>
          </w:p>
        </w:tc>
        <w:tc>
          <w:tcPr>
            <w:tcW w:w="2315" w:type="dxa"/>
            <w:vAlign w:val="center"/>
          </w:tcPr>
          <w:p>
            <w:pPr>
              <w:snapToGrid w:val="0"/>
              <w:spacing w:line="580" w:lineRule="exact"/>
              <w:jc w:val="center"/>
              <w:outlineLvl w:val="0"/>
              <w:rPr>
                <w:rFonts w:ascii="仿宋_GB2312"/>
                <w:sz w:val="24"/>
              </w:rPr>
            </w:pPr>
            <w:r>
              <w:rPr>
                <w:rFonts w:ascii="仿宋_GB2312"/>
                <w:sz w:val="24"/>
              </w:rPr>
              <w:t>通过住房租赁企业的登记备案管理，规范了我区租赁住房市场，有效改善了租赁住房消费环境，基本上完成了预期指标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Merge w:val="continue"/>
            <w:vAlign w:val="center"/>
          </w:tcPr>
          <w:p>
            <w:pPr>
              <w:snapToGrid w:val="0"/>
              <w:spacing w:line="580" w:lineRule="exact"/>
              <w:jc w:val="center"/>
              <w:outlineLvl w:val="0"/>
              <w:rPr>
                <w:rFonts w:ascii="仿宋_GB2312"/>
                <w:sz w:val="24"/>
              </w:rPr>
            </w:pPr>
          </w:p>
        </w:tc>
        <w:tc>
          <w:tcPr>
            <w:tcW w:w="960" w:type="dxa"/>
            <w:vAlign w:val="center"/>
          </w:tcPr>
          <w:p>
            <w:pPr>
              <w:snapToGrid w:val="0"/>
              <w:spacing w:line="580" w:lineRule="exact"/>
              <w:jc w:val="center"/>
              <w:outlineLvl w:val="0"/>
              <w:rPr>
                <w:rFonts w:ascii="仿宋_GB2312"/>
                <w:sz w:val="24"/>
              </w:rPr>
            </w:pPr>
            <w:r>
              <w:rPr>
                <w:rFonts w:hint="eastAsia" w:ascii="仿宋_GB2312"/>
                <w:sz w:val="24"/>
              </w:rPr>
              <w:t>可持续影响指标</w:t>
            </w:r>
          </w:p>
        </w:tc>
        <w:tc>
          <w:tcPr>
            <w:tcW w:w="2312" w:type="dxa"/>
            <w:vAlign w:val="center"/>
          </w:tcPr>
          <w:p>
            <w:pPr>
              <w:snapToGrid w:val="0"/>
              <w:spacing w:line="580" w:lineRule="exact"/>
              <w:jc w:val="center"/>
              <w:outlineLvl w:val="0"/>
              <w:rPr>
                <w:rFonts w:ascii="仿宋_GB2312"/>
                <w:sz w:val="24"/>
              </w:rPr>
            </w:pPr>
            <w:r>
              <w:rPr>
                <w:rFonts w:ascii="仿宋_GB2312"/>
                <w:sz w:val="24"/>
              </w:rPr>
              <w:t>完善奖补项目纳入租赁监管服务平台管理流程</w:t>
            </w:r>
          </w:p>
        </w:tc>
        <w:tc>
          <w:tcPr>
            <w:tcW w:w="2130" w:type="dxa"/>
            <w:vAlign w:val="center"/>
          </w:tcPr>
          <w:p>
            <w:pPr>
              <w:snapToGrid w:val="0"/>
              <w:spacing w:line="580" w:lineRule="exact"/>
              <w:jc w:val="center"/>
              <w:outlineLvl w:val="0"/>
              <w:rPr>
                <w:rFonts w:ascii="仿宋_GB2312"/>
                <w:sz w:val="24"/>
              </w:rPr>
            </w:pPr>
            <w:r>
              <w:rPr>
                <w:rFonts w:ascii="仿宋_GB2312"/>
                <w:sz w:val="24"/>
              </w:rPr>
              <w:t>完善</w:t>
            </w:r>
          </w:p>
        </w:tc>
        <w:tc>
          <w:tcPr>
            <w:tcW w:w="2315" w:type="dxa"/>
            <w:vAlign w:val="center"/>
          </w:tcPr>
          <w:p>
            <w:pPr>
              <w:snapToGrid w:val="0"/>
              <w:spacing w:line="580" w:lineRule="exact"/>
              <w:jc w:val="center"/>
              <w:outlineLvl w:val="0"/>
              <w:rPr>
                <w:rFonts w:ascii="仿宋_GB2312"/>
                <w:sz w:val="24"/>
              </w:rPr>
            </w:pPr>
            <w:r>
              <w:rPr>
                <w:rFonts w:ascii="仿宋_GB2312"/>
                <w:sz w:val="24"/>
              </w:rPr>
              <w:t>通过完成拨付中央财政支持住房租赁市场发展试点资金，完善了项目的审核流程及专项资金的使用流程，保障该项目的长期发展，基本上完成了预期指标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vAlign w:val="center"/>
          </w:tcPr>
          <w:p>
            <w:pPr>
              <w:snapToGrid w:val="0"/>
              <w:spacing w:line="580" w:lineRule="exact"/>
              <w:jc w:val="center"/>
              <w:outlineLvl w:val="0"/>
              <w:rPr>
                <w:rFonts w:ascii="仿宋_GB2312"/>
                <w:sz w:val="24"/>
              </w:rPr>
            </w:pPr>
            <w:r>
              <w:rPr>
                <w:rFonts w:hint="eastAsia" w:ascii="仿宋_GB2312"/>
                <w:sz w:val="24"/>
              </w:rPr>
              <w:t>满意度指标</w:t>
            </w:r>
          </w:p>
        </w:tc>
        <w:tc>
          <w:tcPr>
            <w:tcW w:w="960" w:type="dxa"/>
            <w:vAlign w:val="center"/>
          </w:tcPr>
          <w:p>
            <w:pPr>
              <w:snapToGrid w:val="0"/>
              <w:spacing w:line="580" w:lineRule="exact"/>
              <w:jc w:val="center"/>
              <w:outlineLvl w:val="0"/>
              <w:rPr>
                <w:rFonts w:ascii="仿宋_GB2312"/>
                <w:sz w:val="24"/>
              </w:rPr>
            </w:pPr>
            <w:r>
              <w:rPr>
                <w:rFonts w:hint="eastAsia" w:ascii="仿宋_GB2312"/>
                <w:sz w:val="24"/>
              </w:rPr>
              <w:t>服务对象满意度指标</w:t>
            </w:r>
          </w:p>
        </w:tc>
        <w:tc>
          <w:tcPr>
            <w:tcW w:w="2312" w:type="dxa"/>
            <w:vAlign w:val="center"/>
          </w:tcPr>
          <w:p>
            <w:pPr>
              <w:snapToGrid w:val="0"/>
              <w:spacing w:line="580" w:lineRule="exact"/>
              <w:jc w:val="center"/>
              <w:outlineLvl w:val="0"/>
              <w:rPr>
                <w:rFonts w:ascii="仿宋_GB2312"/>
                <w:sz w:val="24"/>
              </w:rPr>
            </w:pPr>
            <w:r>
              <w:rPr>
                <w:rFonts w:ascii="仿宋_GB2312"/>
                <w:sz w:val="24"/>
              </w:rPr>
              <w:t>发放补贴企业满意度</w:t>
            </w:r>
          </w:p>
        </w:tc>
        <w:tc>
          <w:tcPr>
            <w:tcW w:w="2130" w:type="dxa"/>
            <w:vAlign w:val="center"/>
          </w:tcPr>
          <w:p>
            <w:pPr>
              <w:snapToGrid w:val="0"/>
              <w:spacing w:line="580" w:lineRule="exact"/>
              <w:jc w:val="center"/>
              <w:outlineLvl w:val="0"/>
              <w:rPr>
                <w:rFonts w:ascii="仿宋_GB2312"/>
                <w:sz w:val="24"/>
              </w:rPr>
            </w:pPr>
            <w:r>
              <w:rPr>
                <w:rFonts w:ascii="仿宋_GB2312"/>
                <w:sz w:val="24"/>
              </w:rPr>
              <w:t>=100%</w:t>
            </w:r>
          </w:p>
        </w:tc>
        <w:tc>
          <w:tcPr>
            <w:tcW w:w="2315" w:type="dxa"/>
            <w:vAlign w:val="center"/>
          </w:tcPr>
          <w:p>
            <w:pPr>
              <w:snapToGrid w:val="0"/>
              <w:spacing w:line="580" w:lineRule="exact"/>
              <w:jc w:val="center"/>
              <w:outlineLvl w:val="0"/>
              <w:rPr>
                <w:rFonts w:ascii="仿宋_GB2312"/>
                <w:sz w:val="24"/>
              </w:rPr>
            </w:pPr>
            <w:r>
              <w:rPr>
                <w:rFonts w:ascii="仿宋_GB2312"/>
                <w:sz w:val="24"/>
              </w:rPr>
              <w:t>100%</w:t>
            </w:r>
          </w:p>
        </w:tc>
      </w:tr>
    </w:tbl>
    <w:p>
      <w:pPr>
        <w:snapToGrid w:val="0"/>
        <w:spacing w:line="580" w:lineRule="exact"/>
        <w:outlineLvl w:val="0"/>
        <w:rPr>
          <w:rFonts w:ascii="仿宋_GB2312"/>
          <w:szCs w:val="32"/>
        </w:rPr>
      </w:pPr>
    </w:p>
    <w:p>
      <w:pPr>
        <w:snapToGrid w:val="0"/>
        <w:spacing w:line="580" w:lineRule="exact"/>
        <w:ind w:firstLine="600" w:firstLineChars="200"/>
        <w:rPr>
          <w:rFonts w:ascii="仿宋_GB2312"/>
          <w:szCs w:val="32"/>
        </w:rPr>
      </w:pPr>
      <w:r>
        <w:rPr>
          <w:rFonts w:hint="eastAsia" w:ascii="黑体" w:hAnsi="黑体" w:eastAsia="黑体" w:cs="黑体"/>
          <w:bCs/>
          <w:szCs w:val="32"/>
        </w:rPr>
        <w:t>三、偏离绩效目标的原因和下一步改进措施</w:t>
      </w:r>
    </w:p>
    <w:p>
      <w:pPr>
        <w:snapToGrid w:val="0"/>
        <w:spacing w:line="580" w:lineRule="exact"/>
        <w:ind w:firstLine="600" w:firstLineChars="200"/>
        <w:rPr>
          <w:rFonts w:ascii="仿宋_GB2312"/>
          <w:szCs w:val="32"/>
        </w:rPr>
      </w:pPr>
      <w:r>
        <w:rPr>
          <w:rFonts w:hint="eastAsia" w:ascii="仿宋_GB2312"/>
          <w:szCs w:val="32"/>
        </w:rPr>
        <w:t>项目支出低于年初预算主要原因为缺少符合条件的拨付项目，故没能完成任务目标。</w:t>
      </w:r>
    </w:p>
    <w:p>
      <w:pPr>
        <w:snapToGrid w:val="0"/>
        <w:spacing w:line="580" w:lineRule="exact"/>
        <w:ind w:firstLine="600" w:firstLineChars="200"/>
        <w:rPr>
          <w:rFonts w:ascii="仿宋_GB2312"/>
          <w:szCs w:val="32"/>
        </w:rPr>
      </w:pPr>
      <w:r>
        <w:rPr>
          <w:rFonts w:hint="eastAsia" w:ascii="仿宋_GB2312"/>
          <w:szCs w:val="32"/>
        </w:rPr>
        <w:t>改进措施：加快保租房项目认定和资金拨付工作。</w:t>
      </w:r>
    </w:p>
    <w:p>
      <w:pPr>
        <w:numPr>
          <w:ilvl w:val="0"/>
          <w:numId w:val="3"/>
        </w:num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绩效自评结果拟应用和公开情况</w:t>
      </w:r>
    </w:p>
    <w:p>
      <w:pPr>
        <w:snapToGrid w:val="0"/>
        <w:spacing w:line="580" w:lineRule="exact"/>
        <w:ind w:firstLine="600" w:firstLineChars="200"/>
        <w:rPr>
          <w:rFonts w:ascii="仿宋_GB2312"/>
          <w:szCs w:val="32"/>
        </w:rPr>
      </w:pPr>
      <w:r>
        <w:rPr>
          <w:rFonts w:hint="eastAsia" w:ascii="仿宋_GB2312"/>
          <w:szCs w:val="32"/>
        </w:rPr>
        <w:t>本绩效及各项目绩效自评情况将在政务公开网上进行公开，并将自查自评结果运用于下年度预算。</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pPr>
        <w:snapToGrid w:val="0"/>
        <w:spacing w:line="580" w:lineRule="exact"/>
        <w:ind w:firstLine="600" w:firstLineChars="200"/>
        <w:rPr>
          <w:rFonts w:ascii="仿宋_GB2312"/>
          <w:szCs w:val="32"/>
        </w:rPr>
      </w:pPr>
      <w:r>
        <w:rPr>
          <w:rFonts w:hint="eastAsia" w:ascii="仿宋_GB2312"/>
          <w:szCs w:val="32"/>
        </w:rPr>
        <w:t>巡视、审计和财会监督中未发现的问题。</w:t>
      </w:r>
    </w:p>
    <w:p>
      <w:pPr>
        <w:snapToGrid w:val="0"/>
        <w:spacing w:line="580" w:lineRule="exact"/>
        <w:ind w:firstLine="600" w:firstLineChars="200"/>
        <w:rPr>
          <w:rFonts w:ascii="黑体" w:hAnsi="黑体" w:eastAsia="黑体" w:cs="黑体"/>
        </w:rPr>
      </w:pPr>
      <w:r>
        <w:rPr>
          <w:rFonts w:hint="eastAsia" w:ascii="黑体" w:hAnsi="黑体" w:eastAsia="黑体" w:cs="黑体"/>
        </w:rPr>
        <w:t>六、附件</w:t>
      </w:r>
    </w:p>
    <w:p>
      <w:pPr>
        <w:snapToGrid w:val="0"/>
        <w:spacing w:line="580" w:lineRule="exact"/>
        <w:ind w:firstLine="600" w:firstLineChars="200"/>
        <w:rPr>
          <w:rFonts w:ascii="黑体" w:hAnsi="黑体" w:eastAsia="黑体" w:cs="黑体"/>
        </w:rPr>
      </w:pPr>
      <w:r>
        <w:rPr>
          <w:rFonts w:hint="eastAsia"/>
        </w:rPr>
        <w:t>转移支付区域（项目）绩效目标自评表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89969"/>
    <w:multiLevelType w:val="singleLevel"/>
    <w:tmpl w:val="8B089969"/>
    <w:lvl w:ilvl="0" w:tentative="0">
      <w:start w:val="4"/>
      <w:numFmt w:val="chineseCounting"/>
      <w:suff w:val="nothing"/>
      <w:lvlText w:val="%1、"/>
      <w:lvlJc w:val="left"/>
      <w:rPr>
        <w:rFonts w:hint="eastAsia"/>
      </w:rPr>
    </w:lvl>
  </w:abstractNum>
  <w:abstractNum w:abstractNumId="1">
    <w:nsid w:val="E4F13011"/>
    <w:multiLevelType w:val="singleLevel"/>
    <w:tmpl w:val="E4F13011"/>
    <w:lvl w:ilvl="0" w:tentative="0">
      <w:start w:val="4"/>
      <w:numFmt w:val="chineseCounting"/>
      <w:suff w:val="nothing"/>
      <w:lvlText w:val="（%1）"/>
      <w:lvlJc w:val="left"/>
      <w:rPr>
        <w:rFonts w:hint="eastAsia"/>
      </w:rPr>
    </w:lvl>
  </w:abstractNum>
  <w:abstractNum w:abstractNumId="2">
    <w:nsid w:val="4B536E10"/>
    <w:multiLevelType w:val="singleLevel"/>
    <w:tmpl w:val="4B536E1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420"/>
  <w:drawingGridHorizontalSpacing w:val="150"/>
  <w:drawingGridVerticalSpacing w:val="5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YWVlY2EwMGY5ZjAxNGFlMWIwZjNkZDljMDJkY2I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962E5"/>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0FA35D1"/>
    <w:rsid w:val="02F10DE1"/>
    <w:rsid w:val="037D0BC8"/>
    <w:rsid w:val="0845082D"/>
    <w:rsid w:val="09E965F2"/>
    <w:rsid w:val="0D402D76"/>
    <w:rsid w:val="0DD06975"/>
    <w:rsid w:val="0FF7AA4F"/>
    <w:rsid w:val="13192BB3"/>
    <w:rsid w:val="139840D3"/>
    <w:rsid w:val="143E091F"/>
    <w:rsid w:val="14865FC8"/>
    <w:rsid w:val="14DE7322"/>
    <w:rsid w:val="150C2DB0"/>
    <w:rsid w:val="16142A1B"/>
    <w:rsid w:val="167A0481"/>
    <w:rsid w:val="19B9268B"/>
    <w:rsid w:val="1A7D29EA"/>
    <w:rsid w:val="1C6D52BC"/>
    <w:rsid w:val="1D994BCF"/>
    <w:rsid w:val="1E761F05"/>
    <w:rsid w:val="1F7BE1E6"/>
    <w:rsid w:val="1FC7205C"/>
    <w:rsid w:val="21080332"/>
    <w:rsid w:val="228B3D05"/>
    <w:rsid w:val="23923EA4"/>
    <w:rsid w:val="24996BBA"/>
    <w:rsid w:val="28247630"/>
    <w:rsid w:val="284E74F8"/>
    <w:rsid w:val="2ADB48E8"/>
    <w:rsid w:val="31EE7558"/>
    <w:rsid w:val="34784F8C"/>
    <w:rsid w:val="36070CBD"/>
    <w:rsid w:val="36687282"/>
    <w:rsid w:val="367793B2"/>
    <w:rsid w:val="3794FC37"/>
    <w:rsid w:val="38EF7AD8"/>
    <w:rsid w:val="3E1672E6"/>
    <w:rsid w:val="3EB9C2BB"/>
    <w:rsid w:val="3FEF6A07"/>
    <w:rsid w:val="415F08D8"/>
    <w:rsid w:val="44E2230F"/>
    <w:rsid w:val="48B51347"/>
    <w:rsid w:val="491B45FA"/>
    <w:rsid w:val="4A55216A"/>
    <w:rsid w:val="4AA743C5"/>
    <w:rsid w:val="4DD10E10"/>
    <w:rsid w:val="4FE0696A"/>
    <w:rsid w:val="515E0487"/>
    <w:rsid w:val="543670AA"/>
    <w:rsid w:val="546F8569"/>
    <w:rsid w:val="55673508"/>
    <w:rsid w:val="588B70D4"/>
    <w:rsid w:val="59595A6F"/>
    <w:rsid w:val="597350B8"/>
    <w:rsid w:val="599330CA"/>
    <w:rsid w:val="5A7FCB1F"/>
    <w:rsid w:val="5C393362"/>
    <w:rsid w:val="5D7071AF"/>
    <w:rsid w:val="5FEAF7C9"/>
    <w:rsid w:val="60D5009F"/>
    <w:rsid w:val="642C06C3"/>
    <w:rsid w:val="64AC2E11"/>
    <w:rsid w:val="660721C9"/>
    <w:rsid w:val="661E6C75"/>
    <w:rsid w:val="66DF4F02"/>
    <w:rsid w:val="67F75FF5"/>
    <w:rsid w:val="681D4831"/>
    <w:rsid w:val="68B03FED"/>
    <w:rsid w:val="692E4B19"/>
    <w:rsid w:val="69513EF7"/>
    <w:rsid w:val="6BF3256F"/>
    <w:rsid w:val="6CE7018A"/>
    <w:rsid w:val="6DE05376"/>
    <w:rsid w:val="6E3E3F2D"/>
    <w:rsid w:val="6F2F210F"/>
    <w:rsid w:val="6F8C57B4"/>
    <w:rsid w:val="715B2F02"/>
    <w:rsid w:val="71957384"/>
    <w:rsid w:val="727F463A"/>
    <w:rsid w:val="76A548F2"/>
    <w:rsid w:val="7765772E"/>
    <w:rsid w:val="776F5E62"/>
    <w:rsid w:val="77867685"/>
    <w:rsid w:val="77EE7FE7"/>
    <w:rsid w:val="781F36B6"/>
    <w:rsid w:val="790627AD"/>
    <w:rsid w:val="79B25BDB"/>
    <w:rsid w:val="79DFF8C4"/>
    <w:rsid w:val="7ADC59FA"/>
    <w:rsid w:val="7AE6195B"/>
    <w:rsid w:val="7AFF2FC3"/>
    <w:rsid w:val="7BF6B4C5"/>
    <w:rsid w:val="7DDD794F"/>
    <w:rsid w:val="7DFA6624"/>
    <w:rsid w:val="7DFD8AD7"/>
    <w:rsid w:val="7DFEFB95"/>
    <w:rsid w:val="7EB86566"/>
    <w:rsid w:val="7ECD6B9A"/>
    <w:rsid w:val="7FBA576D"/>
    <w:rsid w:val="7FDE47D5"/>
    <w:rsid w:val="7FFD003D"/>
    <w:rsid w:val="94BFC172"/>
    <w:rsid w:val="9BFA614C"/>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basedOn w:val="7"/>
    <w:link w:val="3"/>
    <w:qFormat/>
    <w:uiPriority w:val="99"/>
    <w:rPr>
      <w:rFonts w:eastAsia="仿宋_GB2312"/>
      <w:kern w:val="2"/>
      <w:sz w:val="18"/>
      <w:szCs w:val="18"/>
    </w:rPr>
  </w:style>
  <w:style w:type="character" w:customStyle="1" w:styleId="9">
    <w:name w:val="页眉 Char"/>
    <w:basedOn w:val="7"/>
    <w:link w:val="4"/>
    <w:qFormat/>
    <w:uiPriority w:val="0"/>
    <w:rPr>
      <w:rFonts w:eastAsia="仿宋_GB2312"/>
      <w:kern w:val="2"/>
      <w:sz w:val="18"/>
      <w:szCs w:val="18"/>
    </w:rPr>
  </w:style>
  <w:style w:type="character" w:customStyle="1" w:styleId="10">
    <w:name w:val="批注框文本 Char"/>
    <w:basedOn w:val="7"/>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1540</Words>
  <Characters>1623</Characters>
  <Lines>1</Lines>
  <Paragraphs>3</Paragraphs>
  <TotalTime>1</TotalTime>
  <ScaleCrop>false</ScaleCrop>
  <LinksUpToDate>false</LinksUpToDate>
  <CharactersWithSpaces>1647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2019-02-17T06:26:00Z</dcterms:created>
  <dc:creator>lhn</dc:creator>
  <cp:lastModifiedBy>Dell</cp:lastModifiedBy>
  <cp:lastPrinted>2023-03-24T07:06:00Z</cp:lastPrinted>
  <dcterms:modified xsi:type="dcterms:W3CDTF">2023-04-19T08:52:26Z</dcterms:modified>
  <dc:title>财政支出绩效评价报告</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DFEE9ECAF2D04614AACBCCD60D0C7740_12</vt:lpwstr>
  </property>
</Properties>
</file>