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9095" w:type="dxa"/>
        <w:jc w:val="center"/>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3"/>
        <w:gridCol w:w="6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9" w:hRule="atLeast"/>
          <w:jc w:val="center"/>
        </w:trPr>
        <w:tc>
          <w:tcPr>
            <w:tcW w:w="9095" w:type="dxa"/>
            <w:gridSpan w:val="2"/>
            <w:tcBorders>
              <w:top w:val="nil"/>
              <w:left w:val="nil"/>
              <w:right w:val="nil"/>
            </w:tcBorders>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bookmarkStart w:id="0" w:name="_GoBack"/>
            <w:r>
              <w:rPr>
                <w:rFonts w:hint="eastAsia" w:asciiTheme="minorEastAsia" w:hAnsiTheme="minorEastAsia" w:eastAsiaTheme="minorEastAsia" w:cstheme="minorEastAsia"/>
                <w:b/>
                <w:bCs/>
                <w:kern w:val="0"/>
                <w:sz w:val="44"/>
                <w:szCs w:val="44"/>
              </w:rPr>
              <w:t>文物征集信息表</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序号</w:t>
            </w:r>
          </w:p>
        </w:tc>
        <w:tc>
          <w:tcPr>
            <w:tcW w:w="6812"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名称</w:t>
            </w:r>
          </w:p>
        </w:tc>
        <w:tc>
          <w:tcPr>
            <w:tcW w:w="6812"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文物征集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法定依据</w:t>
            </w:r>
          </w:p>
        </w:tc>
        <w:tc>
          <w:tcPr>
            <w:tcW w:w="6812" w:type="dxa"/>
            <w:shd w:val="clear" w:color="auto" w:fill="auto"/>
            <w:vAlign w:val="center"/>
          </w:tcPr>
          <w:p>
            <w:pPr>
              <w:widowControl/>
              <w:spacing w:line="360" w:lineRule="auto"/>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《中华人民共和国文物保护法》</w:t>
            </w:r>
          </w:p>
          <w:p>
            <w:pPr>
              <w:widowControl/>
              <w:spacing w:line="360" w:lineRule="auto"/>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第三十七条 文物收藏单位可以通过下列方式取得文物：（一）购买；（二）接受捐赠；（三）依法交换；（四）法律、行政法规规定的其他方式。国有文物收藏单位还可以通过文物行政部门指定保管或者调拨方式取得文物。</w:t>
            </w:r>
          </w:p>
          <w:p>
            <w:pPr>
              <w:widowControl/>
              <w:spacing w:line="360" w:lineRule="auto"/>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《博物馆条例》（国务院令第659号）</w:t>
            </w:r>
          </w:p>
          <w:p>
            <w:pPr>
              <w:widowControl/>
              <w:spacing w:line="360" w:lineRule="auto"/>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第二十一条 博物馆可以通过购买、接受捐赠、依法交换等法律、行政法规规定的方式取得藏品，不得取得来源不明或者来源不合法的藏品。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实施机构</w:t>
            </w:r>
          </w:p>
        </w:tc>
        <w:tc>
          <w:tcPr>
            <w:tcW w:w="6812" w:type="dxa"/>
            <w:shd w:val="clear" w:color="auto" w:fill="auto"/>
            <w:vAlign w:val="center"/>
          </w:tcPr>
          <w:p>
            <w:pPr>
              <w:widowControl/>
              <w:spacing w:line="360" w:lineRule="auto"/>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 xml:space="preserve"> 天津杨柳青博物馆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职责边界</w:t>
            </w:r>
          </w:p>
        </w:tc>
        <w:tc>
          <w:tcPr>
            <w:tcW w:w="6812" w:type="dxa"/>
            <w:shd w:val="clear" w:color="auto" w:fill="auto"/>
            <w:vAlign w:val="center"/>
          </w:tcPr>
          <w:p>
            <w:pPr>
              <w:widowControl/>
              <w:spacing w:line="360" w:lineRule="auto"/>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 xml:space="preserve"> 天津杨柳青博物馆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运行流程</w:t>
            </w:r>
          </w:p>
        </w:tc>
        <w:tc>
          <w:tcPr>
            <w:tcW w:w="6812" w:type="dxa"/>
            <w:shd w:val="clear" w:color="auto" w:fill="auto"/>
            <w:vAlign w:val="center"/>
          </w:tcPr>
          <w:p>
            <w:pPr>
              <w:widowControl/>
              <w:spacing w:line="360" w:lineRule="auto"/>
              <w:jc w:val="left"/>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通过（一）购买；（二）接受捐赠；（三）依法交换；（四）法律、行政法规规定的其他方式以及文物行政部门指定保管或者调拨等法律、行政法规规定的方式取得藏品。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运行要件</w:t>
            </w:r>
          </w:p>
        </w:tc>
        <w:tc>
          <w:tcPr>
            <w:tcW w:w="6812" w:type="dxa"/>
            <w:shd w:val="clear" w:color="auto" w:fill="auto"/>
            <w:vAlign w:val="center"/>
          </w:tcPr>
          <w:p>
            <w:pPr>
              <w:widowControl/>
              <w:spacing w:line="360" w:lineRule="auto"/>
              <w:jc w:val="left"/>
              <w:rPr>
                <w:rFonts w:hint="eastAsia" w:asciiTheme="minorEastAsia" w:hAnsiTheme="minorEastAsia" w:eastAsiaTheme="minorEastAsia" w:cstheme="minorEastAsia"/>
                <w:b w:val="0"/>
                <w:bCs w:val="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8"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责任事项</w:t>
            </w:r>
          </w:p>
        </w:tc>
        <w:tc>
          <w:tcPr>
            <w:tcW w:w="6812" w:type="dxa"/>
            <w:shd w:val="clear" w:color="auto" w:fill="auto"/>
            <w:vAlign w:val="center"/>
          </w:tcPr>
          <w:p>
            <w:pPr>
              <w:widowControl/>
              <w:spacing w:line="360" w:lineRule="auto"/>
              <w:jc w:val="left"/>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有责任通过购买、接受捐赠、依法交换、文物行政部门指定保管或者调拨等及法律、行政法规规定的其他方式取得文物。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4"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监督方式</w:t>
            </w:r>
          </w:p>
        </w:tc>
        <w:tc>
          <w:tcPr>
            <w:tcW w:w="6812" w:type="dxa"/>
            <w:shd w:val="clear" w:color="auto" w:fill="auto"/>
            <w:vAlign w:val="center"/>
          </w:tcPr>
          <w:p>
            <w:pPr>
              <w:widowControl/>
              <w:spacing w:line="360" w:lineRule="auto"/>
              <w:jc w:val="left"/>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监督电话：022-27391618</w:t>
            </w:r>
          </w:p>
          <w:p>
            <w:pPr>
              <w:widowControl/>
              <w:spacing w:line="360" w:lineRule="auto"/>
              <w:jc w:val="left"/>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监督邮箱：tjylqwbg@163.com</w:t>
            </w:r>
          </w:p>
          <w:p>
            <w:pPr>
              <w:widowControl/>
              <w:spacing w:line="360" w:lineRule="auto"/>
              <w:jc w:val="left"/>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来信来访地址： 西青区杨柳青博物馆（石家大院）估衣街47号</w:t>
            </w:r>
          </w:p>
        </w:tc>
      </w:tr>
    </w:tb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Hiragino Sans GB">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antinghei SC">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方正小标宋简体">
    <w:altName w:val="Arial Unicode MS"/>
    <w:panose1 w:val="02010601030101010101"/>
    <w:charset w:val="86"/>
    <w:family w:val="script"/>
    <w:pitch w:val="default"/>
    <w:sig w:usb0="00000000" w:usb1="00000000" w:usb2="00000000" w:usb3="00000000" w:csb0="00040000" w:csb1="00000000"/>
  </w:font>
  <w:font w:name="方正仿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_GB2312">
    <w:altName w:val="Times New Roman"/>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宋">
    <w:altName w:val="宋体"/>
    <w:panose1 w:val="00000000000000000000"/>
    <w:charset w:val="00"/>
    <w:family w:val="auto"/>
    <w:pitch w:val="default"/>
    <w:sig w:usb0="00000000" w:usb1="00000000" w:usb2="00000000" w:usb3="00000000" w:csb0="00000000" w:csb1="00000000"/>
  </w:font>
  <w:font w:name="T">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
    <w:altName w:val="Segoe Print"/>
    <w:panose1 w:val="00000000000000000000"/>
    <w:charset w:val="00"/>
    <w:family w:val="auto"/>
    <w:pitch w:val="default"/>
    <w:sig w:usb0="00000000" w:usb1="00000000" w:usb2="00000000" w:usb3="00000000" w:csb0="00000000" w:csb1="00000000"/>
  </w:font>
  <w:font w:name="TiMessa">
    <w:altName w:val="Segoe Print"/>
    <w:panose1 w:val="00000000000000000000"/>
    <w:charset w:val="00"/>
    <w:family w:val="auto"/>
    <w:pitch w:val="default"/>
    <w:sig w:usb0="00000000" w:usb1="00000000" w:usb2="00000000" w:usb3="00000000" w:csb0="00000000" w:csb1="00000000"/>
  </w:font>
  <w:font w:name="TiMess">
    <w:altName w:val="Segoe Print"/>
    <w:panose1 w:val="00000000000000000000"/>
    <w:charset w:val="00"/>
    <w:family w:val="auto"/>
    <w:pitch w:val="default"/>
    <w:sig w:usb0="00000000" w:usb1="00000000" w:usb2="00000000" w:usb3="00000000" w:csb0="00000000" w:csb1="00000000"/>
  </w:font>
  <w:font w:name="TiMes">
    <w:altName w:val="Segoe Print"/>
    <w:panose1 w:val="00000000000000000000"/>
    <w:charset w:val="00"/>
    <w:family w:val="auto"/>
    <w:pitch w:val="default"/>
    <w:sig w:usb0="00000000" w:usb1="00000000" w:usb2="00000000" w:usb3="00000000" w:csb0="00000000" w:csb1="00000000"/>
  </w:font>
  <w:font w:name="TiMe">
    <w:altName w:val="Segoe Print"/>
    <w:panose1 w:val="00000000000000000000"/>
    <w:charset w:val="00"/>
    <w:family w:val="auto"/>
    <w:pitch w:val="default"/>
    <w:sig w:usb0="00000000" w:usb1="00000000" w:usb2="00000000" w:usb3="00000000" w:csb0="00000000" w:csb1="00000000"/>
  </w:font>
  <w:font w:name="TiM">
    <w:altName w:val="Segoe Print"/>
    <w:panose1 w:val="00000000000000000000"/>
    <w:charset w:val="00"/>
    <w:family w:val="auto"/>
    <w:pitch w:val="default"/>
    <w:sig w:usb0="00000000" w:usb1="00000000" w:usb2="00000000" w:usb3="00000000" w:csb0="00000000" w:csb1="00000000"/>
  </w:font>
  <w:font w:name="Ti">
    <w:altName w:val="Segoe Print"/>
    <w:panose1 w:val="00000000000000000000"/>
    <w:charset w:val="00"/>
    <w:family w:val="auto"/>
    <w:pitch w:val="default"/>
    <w:sig w:usb0="00000000" w:usb1="00000000" w:usb2="00000000" w:usb3="00000000" w:csb0="00000000" w:csb1="00000000"/>
  </w:font>
  <w:font w:name="Ti么事">
    <w:altName w:val="Segoe Print"/>
    <w:panose1 w:val="00000000000000000000"/>
    <w:charset w:val="00"/>
    <w:family w:val="auto"/>
    <w:pitch w:val="default"/>
    <w:sig w:usb0="00000000" w:usb1="00000000" w:usb2="00000000" w:usb3="00000000" w:csb0="00000000" w:csb1="00000000"/>
  </w:font>
  <w:font w:name="Ti么">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 w:name="方正黑体简体">
    <w:altName w:val="黑体"/>
    <w:panose1 w:val="00000000000000000000"/>
    <w:charset w:val="86"/>
    <w:family w:val="script"/>
    <w:pitch w:val="default"/>
    <w:sig w:usb0="00000000" w:usb1="0000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小标宋简体">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81630"/>
      <w:docPartObj>
        <w:docPartGallery w:val="autotext"/>
      </w:docPartObj>
    </w:sdtPr>
    <w:sdtContent>
      <w:p>
        <w:pPr>
          <w:pStyle w:val="2"/>
          <w:jc w:val="center"/>
        </w:pPr>
        <w:r>
          <w:fldChar w:fldCharType="begin"/>
        </w:r>
        <w:r>
          <w:instrText xml:space="preserve"> PAGE   \* MERGEFORMAT </w:instrText>
        </w:r>
        <w:r>
          <w:fldChar w:fldCharType="separate"/>
        </w:r>
        <w:r>
          <w:rPr>
            <w:lang w:val="zh-CN"/>
          </w:rPr>
          <w:t>12</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857ED9"/>
    <w:rsid w:val="17857ED9"/>
    <w:rsid w:val="2E097C5B"/>
    <w:rsid w:val="35E27A74"/>
    <w:rsid w:val="7ED96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customStyle="1" w:styleId="6">
    <w:name w:val="标头"/>
    <w:basedOn w:val="3"/>
    <w:next w:val="1"/>
    <w:uiPriority w:val="0"/>
    <w:rPr>
      <w:rFonts w:ascii="Times New Roman" w:hAnsi="Times New Roman" w:eastAsia="TiMes" w:cs="Times New Roman"/>
      <w:sz w:val="44"/>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2018-01-09T03:14:00Z</dcterms:created>
  <dc:creator>abc</dc:creator>
  <cp:lastModifiedBy>abc</cp:lastModifiedBy>
  <dcterms:modified xsi:type="dcterms:W3CDTF">2018-01-09T03:32:44Z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