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18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专题讲座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活动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信息表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专题讲座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《中华人民共和国文物保护法》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第四十条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 xml:space="preserve"> 文物收藏单位应当充分发挥馆藏文物的作用，通过举办展览、科学研究等活动，加强对中华民族优秀的历史文化和革命传统的宣传教育。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《博物馆条例》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国务院令第659号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第三十四条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 xml:space="preserve"> 博物馆应当根据自身特点、条件，运用现代信息技术，开展形式多样、生动活泼的社会教育和服务活动，参与社区文化建设和对外文化交流与合作。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 xml:space="preserve"> 天津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杨柳青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 xml:space="preserve"> 天津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杨柳青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组织专题讲座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组织专题活动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 xml:space="preserve"> 天津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杨柳青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博物馆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有责任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根据自身特点、条件，运用现代信息技术，开展形式多样、生动活泼的社会教育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监督电话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：022-27391618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监督邮箱：tjylqbwg@163.com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来信来访地址：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西青区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杨柳青博物馆（石家大院）估衣街47号</w:t>
            </w:r>
          </w:p>
        </w:tc>
      </w:tr>
    </w:tbl>
    <w:p/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E2FBC"/>
    <w:rsid w:val="16FE2FBC"/>
    <w:rsid w:val="2BA958F2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2018-01-09T03:16:00Z</dcterms:created>
  <dc:creator>abc</dc:creator>
  <cp:lastModifiedBy>abc</cp:lastModifiedBy>
  <dcterms:modified xsi:type="dcterms:W3CDTF">2018-01-09T03:36:20Z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